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8C4" w:rsidRDefault="003A28C4" w:rsidP="003A28C4">
      <w:pPr>
        <w:pStyle w:val="Default"/>
      </w:pPr>
    </w:p>
    <w:p w:rsidR="003A28C4" w:rsidRPr="003A28C4" w:rsidRDefault="003A28C4" w:rsidP="003A28C4">
      <w:pPr>
        <w:pStyle w:val="Default"/>
        <w:jc w:val="center"/>
        <w:rPr>
          <w:rFonts w:ascii="Arial" w:hAnsi="Arial" w:cs="Arial"/>
        </w:rPr>
      </w:pPr>
      <w:r w:rsidRPr="003A28C4">
        <w:rPr>
          <w:rFonts w:ascii="Arial" w:hAnsi="Arial" w:cs="Arial"/>
          <w:b/>
          <w:bCs/>
        </w:rPr>
        <w:t>Společná zpráva o fúzi spolků sloučením</w:t>
      </w:r>
    </w:p>
    <w:p w:rsidR="003A28C4" w:rsidRPr="003A28C4" w:rsidRDefault="003A28C4" w:rsidP="003A28C4">
      <w:pPr>
        <w:pStyle w:val="Default"/>
        <w:jc w:val="center"/>
        <w:rPr>
          <w:rFonts w:ascii="Arial" w:hAnsi="Arial" w:cs="Arial"/>
          <w:sz w:val="22"/>
          <w:szCs w:val="22"/>
        </w:rPr>
      </w:pPr>
      <w:r w:rsidRPr="003A28C4">
        <w:rPr>
          <w:rFonts w:ascii="Arial" w:hAnsi="Arial" w:cs="Arial"/>
          <w:sz w:val="22"/>
          <w:szCs w:val="22"/>
        </w:rPr>
        <w:t>vysvětlující hospodářské i právní důvody a důsledky této fúze</w:t>
      </w:r>
    </w:p>
    <w:p w:rsidR="003A28C4" w:rsidRPr="003A28C4" w:rsidRDefault="003A28C4" w:rsidP="003A28C4">
      <w:pPr>
        <w:pStyle w:val="Default"/>
        <w:jc w:val="center"/>
        <w:rPr>
          <w:rFonts w:ascii="Arial" w:hAnsi="Arial" w:cs="Arial"/>
          <w:sz w:val="22"/>
          <w:szCs w:val="22"/>
        </w:rPr>
      </w:pPr>
      <w:r w:rsidRPr="003A28C4">
        <w:rPr>
          <w:rFonts w:ascii="Arial" w:hAnsi="Arial" w:cs="Arial"/>
          <w:sz w:val="22"/>
          <w:szCs w:val="22"/>
        </w:rPr>
        <w:t xml:space="preserve">- vyhotovená v souladu s </w:t>
      </w:r>
      <w:proofErr w:type="spellStart"/>
      <w:r w:rsidRPr="003A28C4">
        <w:rPr>
          <w:rFonts w:ascii="Arial" w:hAnsi="Arial" w:cs="Arial"/>
          <w:sz w:val="22"/>
          <w:szCs w:val="22"/>
        </w:rPr>
        <w:t>ust</w:t>
      </w:r>
      <w:proofErr w:type="spellEnd"/>
      <w:r w:rsidRPr="003A28C4">
        <w:rPr>
          <w:rFonts w:ascii="Arial" w:hAnsi="Arial" w:cs="Arial"/>
          <w:sz w:val="22"/>
          <w:szCs w:val="22"/>
        </w:rPr>
        <w:t xml:space="preserve">. § </w:t>
      </w:r>
      <w:proofErr w:type="gramStart"/>
      <w:r w:rsidRPr="003A28C4">
        <w:rPr>
          <w:rFonts w:ascii="Arial" w:hAnsi="Arial" w:cs="Arial"/>
          <w:sz w:val="22"/>
          <w:szCs w:val="22"/>
        </w:rPr>
        <w:t xml:space="preserve">277 </w:t>
      </w:r>
      <w:proofErr w:type="spellStart"/>
      <w:r w:rsidRPr="003A28C4">
        <w:rPr>
          <w:rFonts w:ascii="Arial" w:hAnsi="Arial" w:cs="Arial"/>
          <w:sz w:val="22"/>
          <w:szCs w:val="22"/>
        </w:rPr>
        <w:t>z.č</w:t>
      </w:r>
      <w:proofErr w:type="spellEnd"/>
      <w:r w:rsidRPr="003A28C4">
        <w:rPr>
          <w:rFonts w:ascii="Arial" w:hAnsi="Arial" w:cs="Arial"/>
          <w:sz w:val="22"/>
          <w:szCs w:val="22"/>
        </w:rPr>
        <w:t>.</w:t>
      </w:r>
      <w:proofErr w:type="gramEnd"/>
      <w:r w:rsidRPr="003A28C4">
        <w:rPr>
          <w:rFonts w:ascii="Arial" w:hAnsi="Arial" w:cs="Arial"/>
          <w:sz w:val="22"/>
          <w:szCs w:val="22"/>
        </w:rPr>
        <w:t xml:space="preserve"> 89/2012 Sb., občanského zákoníku -</w:t>
      </w:r>
    </w:p>
    <w:p w:rsidR="003A28C4" w:rsidRPr="003A28C4" w:rsidRDefault="003A28C4" w:rsidP="003A28C4">
      <w:pPr>
        <w:pStyle w:val="Default"/>
        <w:jc w:val="both"/>
        <w:rPr>
          <w:rFonts w:ascii="Arial" w:hAnsi="Arial" w:cs="Arial"/>
          <w:sz w:val="22"/>
          <w:szCs w:val="22"/>
        </w:rPr>
      </w:pPr>
    </w:p>
    <w:p w:rsidR="00802430" w:rsidRDefault="00802430" w:rsidP="003A28C4">
      <w:pPr>
        <w:pStyle w:val="Default"/>
        <w:jc w:val="both"/>
        <w:rPr>
          <w:rFonts w:ascii="Arial" w:hAnsi="Arial" w:cs="Arial"/>
          <w:sz w:val="22"/>
          <w:szCs w:val="22"/>
        </w:rPr>
      </w:pPr>
    </w:p>
    <w:p w:rsidR="00802430" w:rsidRDefault="00802430" w:rsidP="003A28C4">
      <w:pPr>
        <w:pStyle w:val="Default"/>
        <w:jc w:val="both"/>
        <w:rPr>
          <w:rFonts w:ascii="Arial" w:hAnsi="Arial" w:cs="Arial"/>
          <w:sz w:val="22"/>
          <w:szCs w:val="22"/>
        </w:rPr>
      </w:pPr>
    </w:p>
    <w:p w:rsidR="003A28C4" w:rsidRPr="00802430" w:rsidRDefault="003A28C4" w:rsidP="003A28C4">
      <w:pPr>
        <w:pStyle w:val="Default"/>
        <w:jc w:val="both"/>
        <w:rPr>
          <w:rFonts w:ascii="Arial" w:hAnsi="Arial" w:cs="Arial"/>
          <w:b/>
          <w:sz w:val="22"/>
          <w:szCs w:val="22"/>
        </w:rPr>
      </w:pPr>
      <w:r w:rsidRPr="00802430">
        <w:rPr>
          <w:rFonts w:ascii="Arial" w:hAnsi="Arial" w:cs="Arial"/>
          <w:b/>
          <w:sz w:val="22"/>
          <w:szCs w:val="22"/>
        </w:rPr>
        <w:t xml:space="preserve">Zúčastněné spolky: </w:t>
      </w:r>
    </w:p>
    <w:p w:rsidR="003A28C4" w:rsidRDefault="003A28C4" w:rsidP="003A28C4">
      <w:pPr>
        <w:pStyle w:val="Default"/>
        <w:jc w:val="both"/>
        <w:rPr>
          <w:rFonts w:ascii="Arial" w:hAnsi="Arial" w:cs="Arial"/>
          <w:b/>
          <w:bCs/>
          <w:sz w:val="22"/>
          <w:szCs w:val="22"/>
        </w:rPr>
      </w:pPr>
    </w:p>
    <w:p w:rsidR="003A28C4" w:rsidRPr="004651D4" w:rsidRDefault="003A28C4" w:rsidP="003A28C4">
      <w:pPr>
        <w:pStyle w:val="Default"/>
        <w:jc w:val="both"/>
        <w:rPr>
          <w:rFonts w:ascii="Arial" w:hAnsi="Arial" w:cs="Arial"/>
          <w:b/>
          <w:bCs/>
          <w:sz w:val="22"/>
          <w:szCs w:val="22"/>
        </w:rPr>
      </w:pPr>
      <w:r w:rsidRPr="004651D4">
        <w:rPr>
          <w:rFonts w:ascii="Arial" w:hAnsi="Arial" w:cs="Arial"/>
          <w:b/>
          <w:bCs/>
          <w:sz w:val="22"/>
          <w:szCs w:val="22"/>
        </w:rPr>
        <w:t xml:space="preserve">Golf Club Hradec </w:t>
      </w:r>
      <w:proofErr w:type="gramStart"/>
      <w:r w:rsidRPr="004651D4">
        <w:rPr>
          <w:rFonts w:ascii="Arial" w:hAnsi="Arial" w:cs="Arial"/>
          <w:b/>
          <w:bCs/>
          <w:sz w:val="22"/>
          <w:szCs w:val="22"/>
        </w:rPr>
        <w:t xml:space="preserve">Králové </w:t>
      </w:r>
      <w:proofErr w:type="spellStart"/>
      <w:r w:rsidRPr="004651D4">
        <w:rPr>
          <w:rFonts w:ascii="Arial" w:hAnsi="Arial" w:cs="Arial"/>
          <w:b/>
          <w:bCs/>
          <w:sz w:val="22"/>
          <w:szCs w:val="22"/>
        </w:rPr>
        <w:t>z.s</w:t>
      </w:r>
      <w:proofErr w:type="spellEnd"/>
      <w:r w:rsidRPr="004651D4">
        <w:rPr>
          <w:rFonts w:ascii="Arial" w:hAnsi="Arial" w:cs="Arial"/>
          <w:b/>
          <w:bCs/>
          <w:sz w:val="22"/>
          <w:szCs w:val="22"/>
        </w:rPr>
        <w:t>.</w:t>
      </w:r>
      <w:proofErr w:type="gramEnd"/>
    </w:p>
    <w:p w:rsidR="003A28C4" w:rsidRPr="004651D4" w:rsidRDefault="003A28C4" w:rsidP="003A28C4">
      <w:pPr>
        <w:pStyle w:val="Default"/>
        <w:jc w:val="both"/>
        <w:rPr>
          <w:rFonts w:ascii="Arial" w:hAnsi="Arial" w:cs="Arial"/>
          <w:sz w:val="22"/>
          <w:szCs w:val="22"/>
        </w:rPr>
      </w:pPr>
      <w:r w:rsidRPr="004651D4">
        <w:rPr>
          <w:rFonts w:ascii="Arial" w:hAnsi="Arial" w:cs="Arial"/>
          <w:sz w:val="22"/>
          <w:szCs w:val="22"/>
        </w:rPr>
        <w:t>se sídlem Rybova 1908/31, Nový Hradec Králové, 500 09 Hradec Králové, IČO: 62691899</w:t>
      </w:r>
    </w:p>
    <w:p w:rsidR="003A28C4" w:rsidRPr="004651D4" w:rsidRDefault="003A28C4" w:rsidP="003A28C4">
      <w:pPr>
        <w:pStyle w:val="Default"/>
        <w:jc w:val="both"/>
        <w:rPr>
          <w:rFonts w:ascii="Arial" w:hAnsi="Arial" w:cs="Arial"/>
          <w:sz w:val="22"/>
          <w:szCs w:val="22"/>
        </w:rPr>
      </w:pPr>
      <w:r w:rsidRPr="004651D4">
        <w:rPr>
          <w:rFonts w:ascii="Arial" w:hAnsi="Arial" w:cs="Arial"/>
          <w:sz w:val="22"/>
          <w:szCs w:val="22"/>
        </w:rPr>
        <w:t>zastoupený</w:t>
      </w:r>
      <w:r>
        <w:rPr>
          <w:rFonts w:ascii="Arial" w:hAnsi="Arial" w:cs="Arial"/>
          <w:sz w:val="22"/>
          <w:szCs w:val="22"/>
        </w:rPr>
        <w:t xml:space="preserve"> prezidentem Ing. Petrem Lexou</w:t>
      </w:r>
      <w:r w:rsidRPr="004651D4">
        <w:rPr>
          <w:rFonts w:ascii="Arial" w:hAnsi="Arial" w:cs="Arial"/>
          <w:sz w:val="22"/>
          <w:szCs w:val="22"/>
        </w:rPr>
        <w:t xml:space="preserve"> </w:t>
      </w:r>
    </w:p>
    <w:p w:rsidR="003A28C4" w:rsidRDefault="003A28C4" w:rsidP="003A28C4">
      <w:pPr>
        <w:pStyle w:val="Default"/>
        <w:jc w:val="both"/>
        <w:rPr>
          <w:rFonts w:ascii="Arial" w:hAnsi="Arial" w:cs="Arial"/>
          <w:i/>
          <w:iCs/>
          <w:sz w:val="22"/>
          <w:szCs w:val="22"/>
        </w:rPr>
      </w:pPr>
    </w:p>
    <w:p w:rsidR="003A28C4" w:rsidRPr="004651D4" w:rsidRDefault="003A28C4" w:rsidP="003A28C4">
      <w:pPr>
        <w:pStyle w:val="Default"/>
        <w:jc w:val="both"/>
        <w:rPr>
          <w:rFonts w:ascii="Arial" w:hAnsi="Arial" w:cs="Arial"/>
          <w:sz w:val="22"/>
          <w:szCs w:val="22"/>
        </w:rPr>
      </w:pPr>
      <w:r w:rsidRPr="004651D4">
        <w:rPr>
          <w:rFonts w:ascii="Arial" w:hAnsi="Arial" w:cs="Arial"/>
          <w:iCs/>
          <w:sz w:val="22"/>
          <w:szCs w:val="22"/>
        </w:rPr>
        <w:t>(dále jen „</w:t>
      </w:r>
      <w:r w:rsidRPr="004651D4">
        <w:rPr>
          <w:rFonts w:ascii="Arial" w:hAnsi="Arial" w:cs="Arial"/>
          <w:b/>
          <w:bCs/>
          <w:iCs/>
          <w:sz w:val="22"/>
          <w:szCs w:val="22"/>
        </w:rPr>
        <w:t>Nástupnický spolek</w:t>
      </w:r>
      <w:r w:rsidRPr="004651D4">
        <w:rPr>
          <w:rFonts w:ascii="Arial" w:hAnsi="Arial" w:cs="Arial"/>
          <w:iCs/>
          <w:sz w:val="22"/>
          <w:szCs w:val="22"/>
        </w:rPr>
        <w:t>“</w:t>
      </w:r>
      <w:r>
        <w:rPr>
          <w:rFonts w:ascii="Arial" w:hAnsi="Arial" w:cs="Arial"/>
          <w:iCs/>
          <w:sz w:val="22"/>
          <w:szCs w:val="22"/>
        </w:rPr>
        <w:t xml:space="preserve"> nebo „</w:t>
      </w:r>
      <w:r w:rsidRPr="003A28C4">
        <w:rPr>
          <w:rFonts w:ascii="Arial" w:hAnsi="Arial" w:cs="Arial"/>
          <w:b/>
          <w:iCs/>
          <w:sz w:val="22"/>
          <w:szCs w:val="22"/>
        </w:rPr>
        <w:t>GCHK</w:t>
      </w:r>
      <w:r>
        <w:rPr>
          <w:rFonts w:ascii="Arial" w:hAnsi="Arial" w:cs="Arial"/>
          <w:iCs/>
          <w:sz w:val="22"/>
          <w:szCs w:val="22"/>
        </w:rPr>
        <w:t>“</w:t>
      </w:r>
      <w:r w:rsidRPr="004651D4">
        <w:rPr>
          <w:rFonts w:ascii="Arial" w:hAnsi="Arial" w:cs="Arial"/>
          <w:iCs/>
          <w:sz w:val="22"/>
          <w:szCs w:val="22"/>
        </w:rPr>
        <w:t xml:space="preserve">) </w:t>
      </w:r>
    </w:p>
    <w:p w:rsidR="003A28C4" w:rsidRPr="004651D4" w:rsidRDefault="003A28C4" w:rsidP="003A28C4">
      <w:pPr>
        <w:pStyle w:val="Default"/>
        <w:jc w:val="both"/>
        <w:rPr>
          <w:rFonts w:ascii="Arial" w:hAnsi="Arial" w:cs="Arial"/>
          <w:b/>
          <w:bCs/>
          <w:sz w:val="22"/>
          <w:szCs w:val="22"/>
        </w:rPr>
      </w:pPr>
    </w:p>
    <w:p w:rsidR="003A28C4" w:rsidRPr="004651D4" w:rsidRDefault="003A28C4" w:rsidP="003A28C4">
      <w:pPr>
        <w:pStyle w:val="Default"/>
        <w:jc w:val="both"/>
        <w:rPr>
          <w:rFonts w:ascii="Arial" w:hAnsi="Arial" w:cs="Arial"/>
          <w:sz w:val="22"/>
          <w:szCs w:val="22"/>
        </w:rPr>
      </w:pPr>
      <w:r w:rsidRPr="004651D4">
        <w:rPr>
          <w:rFonts w:ascii="Arial" w:hAnsi="Arial" w:cs="Arial"/>
          <w:b/>
          <w:bCs/>
          <w:sz w:val="22"/>
          <w:szCs w:val="22"/>
        </w:rPr>
        <w:t xml:space="preserve">a </w:t>
      </w:r>
    </w:p>
    <w:p w:rsidR="003A28C4" w:rsidRPr="004651D4" w:rsidRDefault="003A28C4" w:rsidP="003A28C4">
      <w:pPr>
        <w:pStyle w:val="Default"/>
        <w:jc w:val="both"/>
        <w:rPr>
          <w:rFonts w:ascii="Arial" w:hAnsi="Arial" w:cs="Arial"/>
          <w:b/>
          <w:bCs/>
          <w:sz w:val="22"/>
          <w:szCs w:val="22"/>
        </w:rPr>
      </w:pPr>
    </w:p>
    <w:p w:rsidR="003A28C4" w:rsidRDefault="003A28C4" w:rsidP="003A28C4">
      <w:pPr>
        <w:pStyle w:val="Default"/>
        <w:jc w:val="both"/>
        <w:rPr>
          <w:rFonts w:ascii="Arial" w:hAnsi="Arial" w:cs="Arial"/>
          <w:b/>
          <w:bCs/>
          <w:sz w:val="22"/>
          <w:szCs w:val="22"/>
        </w:rPr>
      </w:pPr>
      <w:r w:rsidRPr="004651D4">
        <w:rPr>
          <w:rFonts w:ascii="Arial" w:hAnsi="Arial" w:cs="Arial"/>
          <w:b/>
          <w:bCs/>
          <w:sz w:val="22"/>
          <w:szCs w:val="22"/>
        </w:rPr>
        <w:t xml:space="preserve">GOLF CLUB NA </w:t>
      </w:r>
      <w:proofErr w:type="gramStart"/>
      <w:r w:rsidRPr="004651D4">
        <w:rPr>
          <w:rFonts w:ascii="Arial" w:hAnsi="Arial" w:cs="Arial"/>
          <w:b/>
          <w:bCs/>
          <w:sz w:val="22"/>
          <w:szCs w:val="22"/>
        </w:rPr>
        <w:t xml:space="preserve">VRŠÍCH </w:t>
      </w:r>
      <w:proofErr w:type="spellStart"/>
      <w:r w:rsidRPr="004651D4">
        <w:rPr>
          <w:rFonts w:ascii="Arial" w:hAnsi="Arial" w:cs="Arial"/>
          <w:b/>
          <w:bCs/>
          <w:sz w:val="22"/>
          <w:szCs w:val="22"/>
        </w:rPr>
        <w:t>z.s</w:t>
      </w:r>
      <w:proofErr w:type="spellEnd"/>
      <w:r w:rsidRPr="004651D4">
        <w:rPr>
          <w:rFonts w:ascii="Arial" w:hAnsi="Arial" w:cs="Arial"/>
          <w:b/>
          <w:bCs/>
          <w:sz w:val="22"/>
          <w:szCs w:val="22"/>
        </w:rPr>
        <w:t>.</w:t>
      </w:r>
      <w:proofErr w:type="gramEnd"/>
    </w:p>
    <w:p w:rsidR="003A28C4" w:rsidRDefault="003A28C4" w:rsidP="003A28C4">
      <w:pPr>
        <w:pStyle w:val="Default"/>
        <w:jc w:val="both"/>
        <w:rPr>
          <w:rFonts w:ascii="Arial" w:hAnsi="Arial" w:cs="Arial"/>
          <w:sz w:val="22"/>
          <w:szCs w:val="22"/>
        </w:rPr>
      </w:pPr>
      <w:r w:rsidRPr="004651D4">
        <w:rPr>
          <w:rFonts w:ascii="Arial" w:hAnsi="Arial" w:cs="Arial"/>
          <w:sz w:val="22"/>
          <w:szCs w:val="22"/>
        </w:rPr>
        <w:t>se sídlem</w:t>
      </w:r>
      <w:r>
        <w:rPr>
          <w:rFonts w:ascii="Arial" w:hAnsi="Arial" w:cs="Arial"/>
          <w:sz w:val="22"/>
          <w:szCs w:val="22"/>
        </w:rPr>
        <w:t xml:space="preserve"> </w:t>
      </w:r>
      <w:r w:rsidRPr="004651D4">
        <w:rPr>
          <w:rFonts w:ascii="Arial" w:hAnsi="Arial" w:cs="Arial"/>
          <w:sz w:val="22"/>
          <w:szCs w:val="22"/>
        </w:rPr>
        <w:t>Buzulucká 936/14, 500 03 Hradec Králové, IČO: 26986060</w:t>
      </w:r>
    </w:p>
    <w:p w:rsidR="003A28C4" w:rsidRPr="004651D4" w:rsidRDefault="003A28C4" w:rsidP="003A28C4">
      <w:pPr>
        <w:pStyle w:val="Default"/>
        <w:jc w:val="both"/>
        <w:rPr>
          <w:rFonts w:ascii="Arial" w:hAnsi="Arial" w:cs="Arial"/>
          <w:sz w:val="22"/>
          <w:szCs w:val="22"/>
        </w:rPr>
      </w:pPr>
      <w:r w:rsidRPr="004651D4">
        <w:rPr>
          <w:rFonts w:ascii="Arial" w:hAnsi="Arial" w:cs="Arial"/>
          <w:sz w:val="22"/>
          <w:szCs w:val="22"/>
        </w:rPr>
        <w:t xml:space="preserve">zastoupený </w:t>
      </w:r>
      <w:r>
        <w:rPr>
          <w:rFonts w:ascii="Arial" w:hAnsi="Arial" w:cs="Arial"/>
          <w:sz w:val="22"/>
          <w:szCs w:val="22"/>
        </w:rPr>
        <w:t>prezidentkou výboru Vlastou Horákovou</w:t>
      </w:r>
      <w:r w:rsidRPr="004651D4">
        <w:rPr>
          <w:rFonts w:ascii="Arial" w:hAnsi="Arial" w:cs="Arial"/>
          <w:sz w:val="22"/>
          <w:szCs w:val="22"/>
        </w:rPr>
        <w:t xml:space="preserve"> </w:t>
      </w:r>
    </w:p>
    <w:p w:rsidR="003A28C4" w:rsidRDefault="003A28C4" w:rsidP="003A28C4">
      <w:pPr>
        <w:pStyle w:val="Default"/>
        <w:jc w:val="both"/>
        <w:rPr>
          <w:rFonts w:ascii="Arial" w:hAnsi="Arial" w:cs="Arial"/>
          <w:i/>
          <w:iCs/>
          <w:sz w:val="22"/>
          <w:szCs w:val="22"/>
        </w:rPr>
      </w:pPr>
    </w:p>
    <w:p w:rsidR="003A28C4" w:rsidRPr="004651D4" w:rsidRDefault="003A28C4" w:rsidP="003A28C4">
      <w:pPr>
        <w:pStyle w:val="Default"/>
        <w:jc w:val="both"/>
        <w:rPr>
          <w:rFonts w:ascii="Arial" w:hAnsi="Arial" w:cs="Arial"/>
          <w:iCs/>
          <w:sz w:val="22"/>
          <w:szCs w:val="22"/>
        </w:rPr>
      </w:pPr>
      <w:r w:rsidRPr="004651D4">
        <w:rPr>
          <w:rFonts w:ascii="Arial" w:hAnsi="Arial" w:cs="Arial"/>
          <w:iCs/>
          <w:sz w:val="22"/>
          <w:szCs w:val="22"/>
        </w:rPr>
        <w:t>(dále jen „</w:t>
      </w:r>
      <w:r w:rsidRPr="004651D4">
        <w:rPr>
          <w:rFonts w:ascii="Arial" w:hAnsi="Arial" w:cs="Arial"/>
          <w:b/>
          <w:bCs/>
          <w:iCs/>
          <w:sz w:val="22"/>
          <w:szCs w:val="22"/>
        </w:rPr>
        <w:t>Zanikající spolek</w:t>
      </w:r>
      <w:r w:rsidRPr="004651D4">
        <w:rPr>
          <w:rFonts w:ascii="Arial" w:hAnsi="Arial" w:cs="Arial"/>
          <w:iCs/>
          <w:sz w:val="22"/>
          <w:szCs w:val="22"/>
        </w:rPr>
        <w:t>“</w:t>
      </w:r>
      <w:r>
        <w:rPr>
          <w:rFonts w:ascii="Arial" w:hAnsi="Arial" w:cs="Arial"/>
          <w:iCs/>
          <w:sz w:val="22"/>
          <w:szCs w:val="22"/>
        </w:rPr>
        <w:t xml:space="preserve"> nebo „</w:t>
      </w:r>
      <w:r w:rsidRPr="003A28C4">
        <w:rPr>
          <w:rFonts w:ascii="Arial" w:hAnsi="Arial" w:cs="Arial"/>
          <w:b/>
          <w:iCs/>
          <w:sz w:val="22"/>
          <w:szCs w:val="22"/>
        </w:rPr>
        <w:t>GCNV</w:t>
      </w:r>
      <w:r>
        <w:rPr>
          <w:rFonts w:ascii="Arial" w:hAnsi="Arial" w:cs="Arial"/>
          <w:iCs/>
          <w:sz w:val="22"/>
          <w:szCs w:val="22"/>
        </w:rPr>
        <w:t>“</w:t>
      </w:r>
      <w:r w:rsidRPr="004651D4">
        <w:rPr>
          <w:rFonts w:ascii="Arial" w:hAnsi="Arial" w:cs="Arial"/>
          <w:iCs/>
          <w:sz w:val="22"/>
          <w:szCs w:val="22"/>
        </w:rPr>
        <w:t xml:space="preserve">) </w:t>
      </w:r>
    </w:p>
    <w:p w:rsidR="003A28C4" w:rsidRDefault="003A28C4" w:rsidP="003A28C4">
      <w:pPr>
        <w:pStyle w:val="Default"/>
        <w:jc w:val="both"/>
        <w:rPr>
          <w:rFonts w:ascii="Arial" w:hAnsi="Arial" w:cs="Arial"/>
          <w:i/>
          <w:iCs/>
          <w:sz w:val="22"/>
          <w:szCs w:val="22"/>
        </w:rPr>
      </w:pPr>
    </w:p>
    <w:p w:rsidR="003A28C4" w:rsidRDefault="003A28C4" w:rsidP="003A28C4">
      <w:pPr>
        <w:pStyle w:val="Default"/>
        <w:jc w:val="both"/>
        <w:rPr>
          <w:rFonts w:ascii="Arial" w:hAnsi="Arial" w:cs="Arial"/>
          <w:i/>
          <w:iCs/>
          <w:sz w:val="22"/>
          <w:szCs w:val="22"/>
        </w:rPr>
      </w:pPr>
    </w:p>
    <w:p w:rsidR="003A28C4" w:rsidRPr="003A28C4" w:rsidRDefault="003A28C4" w:rsidP="003A28C4">
      <w:pPr>
        <w:pStyle w:val="Default"/>
        <w:jc w:val="both"/>
        <w:rPr>
          <w:rFonts w:ascii="Arial" w:hAnsi="Arial" w:cs="Arial"/>
          <w:sz w:val="22"/>
          <w:szCs w:val="22"/>
        </w:rPr>
      </w:pPr>
      <w:r w:rsidRPr="003A28C4">
        <w:rPr>
          <w:rFonts w:ascii="Arial" w:hAnsi="Arial" w:cs="Arial"/>
          <w:iCs/>
          <w:sz w:val="22"/>
          <w:szCs w:val="22"/>
        </w:rPr>
        <w:t>Nástupnický spolek a Zanikající spolek společně i jen jako „</w:t>
      </w:r>
      <w:r w:rsidRPr="003A28C4">
        <w:rPr>
          <w:rFonts w:ascii="Arial" w:hAnsi="Arial" w:cs="Arial"/>
          <w:b/>
          <w:iCs/>
          <w:sz w:val="22"/>
          <w:szCs w:val="22"/>
        </w:rPr>
        <w:t>Zúčastněné spolky</w:t>
      </w:r>
      <w:r w:rsidRPr="003A28C4">
        <w:rPr>
          <w:rFonts w:ascii="Arial" w:hAnsi="Arial" w:cs="Arial"/>
          <w:iCs/>
          <w:sz w:val="22"/>
          <w:szCs w:val="22"/>
        </w:rPr>
        <w:t xml:space="preserve">“ </w:t>
      </w:r>
    </w:p>
    <w:p w:rsidR="003A28C4" w:rsidRDefault="003A28C4" w:rsidP="003A28C4">
      <w:pPr>
        <w:pStyle w:val="Default"/>
        <w:jc w:val="both"/>
        <w:rPr>
          <w:rFonts w:ascii="Arial" w:hAnsi="Arial" w:cs="Arial"/>
          <w:b/>
          <w:bCs/>
          <w:sz w:val="22"/>
          <w:szCs w:val="22"/>
        </w:rPr>
      </w:pPr>
    </w:p>
    <w:p w:rsidR="00802430" w:rsidRDefault="00802430" w:rsidP="003A28C4">
      <w:pPr>
        <w:pStyle w:val="Default"/>
        <w:jc w:val="both"/>
        <w:rPr>
          <w:rFonts w:ascii="Arial" w:hAnsi="Arial" w:cs="Arial"/>
          <w:b/>
          <w:bCs/>
          <w:sz w:val="22"/>
          <w:szCs w:val="22"/>
        </w:rPr>
      </w:pPr>
    </w:p>
    <w:p w:rsidR="003A28C4" w:rsidRPr="003A28C4" w:rsidRDefault="003A28C4" w:rsidP="003A28C4">
      <w:pPr>
        <w:pStyle w:val="Default"/>
        <w:jc w:val="center"/>
        <w:rPr>
          <w:rFonts w:ascii="Arial" w:hAnsi="Arial" w:cs="Arial"/>
          <w:sz w:val="22"/>
          <w:szCs w:val="22"/>
        </w:rPr>
      </w:pPr>
      <w:r w:rsidRPr="003A28C4">
        <w:rPr>
          <w:rFonts w:ascii="Arial" w:hAnsi="Arial" w:cs="Arial"/>
          <w:b/>
          <w:bCs/>
          <w:sz w:val="22"/>
          <w:szCs w:val="22"/>
        </w:rPr>
        <w:t>Čl. I</w:t>
      </w:r>
    </w:p>
    <w:p w:rsidR="003A28C4" w:rsidRDefault="003A28C4" w:rsidP="003A28C4">
      <w:pPr>
        <w:pStyle w:val="Default"/>
        <w:jc w:val="center"/>
        <w:rPr>
          <w:rFonts w:ascii="Arial" w:hAnsi="Arial" w:cs="Arial"/>
          <w:b/>
          <w:bCs/>
          <w:sz w:val="22"/>
          <w:szCs w:val="22"/>
        </w:rPr>
      </w:pPr>
      <w:r w:rsidRPr="003A28C4">
        <w:rPr>
          <w:rFonts w:ascii="Arial" w:hAnsi="Arial" w:cs="Arial"/>
          <w:b/>
          <w:bCs/>
          <w:sz w:val="22"/>
          <w:szCs w:val="22"/>
        </w:rPr>
        <w:t>Úvodní ustanovení</w:t>
      </w:r>
    </w:p>
    <w:p w:rsidR="003A28C4" w:rsidRPr="003A28C4" w:rsidRDefault="003A28C4" w:rsidP="003A28C4">
      <w:pPr>
        <w:pStyle w:val="Default"/>
        <w:jc w:val="center"/>
        <w:rPr>
          <w:rFonts w:ascii="Arial" w:hAnsi="Arial" w:cs="Arial"/>
          <w:sz w:val="22"/>
          <w:szCs w:val="22"/>
        </w:rPr>
      </w:pPr>
    </w:p>
    <w:p w:rsidR="003A28C4" w:rsidRDefault="003A28C4" w:rsidP="003A28C4">
      <w:pPr>
        <w:pStyle w:val="Default"/>
        <w:numPr>
          <w:ilvl w:val="0"/>
          <w:numId w:val="12"/>
        </w:numPr>
        <w:spacing w:after="51"/>
        <w:ind w:left="284" w:hanging="284"/>
        <w:jc w:val="both"/>
        <w:rPr>
          <w:rFonts w:ascii="Arial" w:hAnsi="Arial" w:cs="Arial"/>
          <w:sz w:val="22"/>
          <w:szCs w:val="22"/>
        </w:rPr>
      </w:pPr>
      <w:r>
        <w:rPr>
          <w:rFonts w:ascii="Arial" w:hAnsi="Arial" w:cs="Arial"/>
          <w:sz w:val="22"/>
          <w:szCs w:val="22"/>
        </w:rPr>
        <w:t>GCHK a GCNV</w:t>
      </w:r>
      <w:r w:rsidRPr="003A28C4">
        <w:rPr>
          <w:rFonts w:ascii="Arial" w:hAnsi="Arial" w:cs="Arial"/>
          <w:sz w:val="22"/>
          <w:szCs w:val="22"/>
        </w:rPr>
        <w:t xml:space="preserve"> jsou dobrovolnými a samosprávnými spolky, které sdružují své členy se </w:t>
      </w:r>
      <w:r w:rsidRPr="00A92885">
        <w:rPr>
          <w:rFonts w:ascii="Arial" w:hAnsi="Arial" w:cs="Arial"/>
          <w:sz w:val="22"/>
          <w:szCs w:val="22"/>
        </w:rPr>
        <w:t>zájmem (zejména) o golfový sport.</w:t>
      </w:r>
    </w:p>
    <w:p w:rsidR="00A92885" w:rsidRPr="00A92885" w:rsidRDefault="00A92885" w:rsidP="00A92885">
      <w:pPr>
        <w:pStyle w:val="Default"/>
        <w:spacing w:after="51"/>
        <w:ind w:left="284"/>
        <w:jc w:val="both"/>
        <w:rPr>
          <w:rFonts w:ascii="Arial" w:hAnsi="Arial" w:cs="Arial"/>
          <w:sz w:val="22"/>
          <w:szCs w:val="22"/>
        </w:rPr>
      </w:pPr>
    </w:p>
    <w:p w:rsidR="00A92885" w:rsidRPr="00EA4BC2" w:rsidRDefault="003A28C4" w:rsidP="003A28C4">
      <w:pPr>
        <w:pStyle w:val="Default"/>
        <w:numPr>
          <w:ilvl w:val="0"/>
          <w:numId w:val="12"/>
        </w:numPr>
        <w:spacing w:after="51"/>
        <w:ind w:left="284" w:hanging="284"/>
        <w:jc w:val="both"/>
        <w:rPr>
          <w:rFonts w:ascii="Arial" w:hAnsi="Arial" w:cs="Arial"/>
          <w:sz w:val="22"/>
          <w:szCs w:val="22"/>
        </w:rPr>
      </w:pPr>
      <w:r w:rsidRPr="00EA4BC2">
        <w:rPr>
          <w:rFonts w:ascii="Arial" w:hAnsi="Arial" w:cs="Arial"/>
          <w:sz w:val="22"/>
          <w:szCs w:val="22"/>
        </w:rPr>
        <w:t>Zúčastněné spolky si uvědomují potřebu intenzivnější spolupráce mezi svými členy, potřebu intenzívnější ekonomické spolupráce, potřebu snížení administrativní i ekonomické zátěže a zjednodušení prezentace činnosti Zúčastněných spolků členům a veřejnosti.</w:t>
      </w:r>
      <w:r w:rsidR="008F64EB" w:rsidRPr="00EA4BC2">
        <w:rPr>
          <w:rFonts w:ascii="Arial" w:hAnsi="Arial" w:cs="Arial"/>
          <w:sz w:val="22"/>
          <w:szCs w:val="22"/>
        </w:rPr>
        <w:t xml:space="preserve"> Současně si Zúčastněné spolky uvědomují případné výhody plynoucí ze společného působení v oblasti sportovního golfu se zaměřením na oblast soutěží družstev a péče o mládež.   </w:t>
      </w:r>
    </w:p>
    <w:p w:rsidR="00A92885" w:rsidRDefault="00A92885" w:rsidP="00A92885">
      <w:pPr>
        <w:pStyle w:val="Default"/>
        <w:spacing w:after="51"/>
        <w:ind w:left="284"/>
        <w:jc w:val="both"/>
        <w:rPr>
          <w:rFonts w:ascii="Arial" w:hAnsi="Arial" w:cs="Arial"/>
          <w:sz w:val="22"/>
          <w:szCs w:val="22"/>
        </w:rPr>
      </w:pPr>
    </w:p>
    <w:p w:rsidR="003A28C4" w:rsidRDefault="003A28C4" w:rsidP="00A92885">
      <w:pPr>
        <w:pStyle w:val="Default"/>
        <w:numPr>
          <w:ilvl w:val="0"/>
          <w:numId w:val="12"/>
        </w:numPr>
        <w:spacing w:after="51"/>
        <w:ind w:left="284" w:hanging="284"/>
        <w:jc w:val="both"/>
        <w:rPr>
          <w:rFonts w:ascii="Arial" w:hAnsi="Arial" w:cs="Arial"/>
          <w:sz w:val="22"/>
          <w:szCs w:val="22"/>
        </w:rPr>
      </w:pPr>
      <w:r w:rsidRPr="00A92885">
        <w:rPr>
          <w:rFonts w:ascii="Arial" w:hAnsi="Arial" w:cs="Arial"/>
          <w:sz w:val="22"/>
          <w:szCs w:val="22"/>
        </w:rPr>
        <w:t xml:space="preserve">S ohledem na to, že oba Zúčastněné spolky sledují shodné cíle a sdružují členy ve stejné oblasti, neprospívá souběžná existence obou spolků k optimálnímu naplňování cílů a zájmů obou těchto spolků. Zúčastněné spolky se proto – v zájmu co nejefektivnějšího soustředění se na společné cíle – rozhodly sloučit s tím, že </w:t>
      </w:r>
      <w:r w:rsidR="00A92885">
        <w:rPr>
          <w:rFonts w:ascii="Arial" w:hAnsi="Arial" w:cs="Arial"/>
          <w:sz w:val="22"/>
          <w:szCs w:val="22"/>
        </w:rPr>
        <w:t>GCHK,</w:t>
      </w:r>
      <w:r w:rsidRPr="00A92885">
        <w:rPr>
          <w:rFonts w:ascii="Arial" w:hAnsi="Arial" w:cs="Arial"/>
          <w:sz w:val="22"/>
          <w:szCs w:val="22"/>
        </w:rPr>
        <w:t xml:space="preserve"> jakožto Nástupnický spolek, převezme právní nástupnictví Zanikajícího spolku </w:t>
      </w:r>
      <w:r w:rsidR="00A92885">
        <w:rPr>
          <w:rFonts w:ascii="Arial" w:hAnsi="Arial" w:cs="Arial"/>
          <w:sz w:val="22"/>
          <w:szCs w:val="22"/>
        </w:rPr>
        <w:t>GCNV</w:t>
      </w:r>
      <w:r w:rsidRPr="00A92885">
        <w:rPr>
          <w:rFonts w:ascii="Arial" w:hAnsi="Arial" w:cs="Arial"/>
          <w:sz w:val="22"/>
          <w:szCs w:val="22"/>
        </w:rPr>
        <w:t xml:space="preserve">, přičemž v důsledku Fúze dojde k zániku </w:t>
      </w:r>
      <w:r w:rsidR="00A92885">
        <w:rPr>
          <w:rFonts w:ascii="Arial" w:hAnsi="Arial" w:cs="Arial"/>
          <w:sz w:val="22"/>
          <w:szCs w:val="22"/>
        </w:rPr>
        <w:t>GCNV</w:t>
      </w:r>
      <w:r w:rsidRPr="00A92885">
        <w:rPr>
          <w:rFonts w:ascii="Arial" w:hAnsi="Arial" w:cs="Arial"/>
          <w:sz w:val="22"/>
          <w:szCs w:val="22"/>
        </w:rPr>
        <w:t xml:space="preserve"> bez likvidace (dále jen „</w:t>
      </w:r>
      <w:r w:rsidRPr="00A92885">
        <w:rPr>
          <w:rFonts w:ascii="Arial" w:hAnsi="Arial" w:cs="Arial"/>
          <w:b/>
          <w:sz w:val="22"/>
          <w:szCs w:val="22"/>
        </w:rPr>
        <w:t>Fúze</w:t>
      </w:r>
      <w:r w:rsidRPr="00A92885">
        <w:rPr>
          <w:rFonts w:ascii="Arial" w:hAnsi="Arial" w:cs="Arial"/>
          <w:sz w:val="22"/>
          <w:szCs w:val="22"/>
        </w:rPr>
        <w:t xml:space="preserve">“). </w:t>
      </w:r>
    </w:p>
    <w:p w:rsidR="00A92885" w:rsidRDefault="00A92885" w:rsidP="00A92885">
      <w:pPr>
        <w:pStyle w:val="Odstavecseseznamem"/>
        <w:rPr>
          <w:rFonts w:ascii="Arial" w:hAnsi="Arial" w:cs="Arial"/>
        </w:rPr>
      </w:pPr>
    </w:p>
    <w:p w:rsidR="00A92885" w:rsidRDefault="003A28C4" w:rsidP="003A28C4">
      <w:pPr>
        <w:pStyle w:val="Default"/>
        <w:numPr>
          <w:ilvl w:val="0"/>
          <w:numId w:val="12"/>
        </w:numPr>
        <w:spacing w:after="51"/>
        <w:ind w:left="284" w:hanging="284"/>
        <w:jc w:val="both"/>
        <w:rPr>
          <w:rFonts w:ascii="Arial" w:hAnsi="Arial" w:cs="Arial"/>
          <w:sz w:val="22"/>
          <w:szCs w:val="22"/>
        </w:rPr>
      </w:pPr>
      <w:r w:rsidRPr="00A92885">
        <w:rPr>
          <w:rFonts w:ascii="Arial" w:hAnsi="Arial" w:cs="Arial"/>
          <w:sz w:val="22"/>
          <w:szCs w:val="22"/>
        </w:rPr>
        <w:t xml:space="preserve">Sloučením </w:t>
      </w:r>
      <w:r w:rsidR="00A92885">
        <w:rPr>
          <w:rFonts w:ascii="Arial" w:hAnsi="Arial" w:cs="Arial"/>
          <w:sz w:val="22"/>
          <w:szCs w:val="22"/>
        </w:rPr>
        <w:t>GCHK a GCNV</w:t>
      </w:r>
      <w:r w:rsidR="00A92885" w:rsidRPr="003A28C4">
        <w:rPr>
          <w:rFonts w:ascii="Arial" w:hAnsi="Arial" w:cs="Arial"/>
          <w:sz w:val="22"/>
          <w:szCs w:val="22"/>
        </w:rPr>
        <w:t xml:space="preserve"> </w:t>
      </w:r>
      <w:r w:rsidRPr="00A92885">
        <w:rPr>
          <w:rFonts w:ascii="Arial" w:hAnsi="Arial" w:cs="Arial"/>
          <w:sz w:val="22"/>
          <w:szCs w:val="22"/>
        </w:rPr>
        <w:t>vznikne jed</w:t>
      </w:r>
      <w:r w:rsidR="00A92885">
        <w:rPr>
          <w:rFonts w:ascii="Arial" w:hAnsi="Arial" w:cs="Arial"/>
          <w:sz w:val="22"/>
          <w:szCs w:val="22"/>
        </w:rPr>
        <w:t>en spolek</w:t>
      </w:r>
      <w:r w:rsidRPr="00A92885">
        <w:rPr>
          <w:rFonts w:ascii="Arial" w:hAnsi="Arial" w:cs="Arial"/>
          <w:sz w:val="22"/>
          <w:szCs w:val="22"/>
        </w:rPr>
        <w:t>, kter</w:t>
      </w:r>
      <w:r w:rsidR="00A92885">
        <w:rPr>
          <w:rFonts w:ascii="Arial" w:hAnsi="Arial" w:cs="Arial"/>
          <w:sz w:val="22"/>
          <w:szCs w:val="22"/>
        </w:rPr>
        <w:t>ý</w:t>
      </w:r>
      <w:r w:rsidRPr="00A92885">
        <w:rPr>
          <w:rFonts w:ascii="Arial" w:hAnsi="Arial" w:cs="Arial"/>
          <w:sz w:val="22"/>
          <w:szCs w:val="22"/>
        </w:rPr>
        <w:t xml:space="preserve"> bude sdružovat osoby se zájmem </w:t>
      </w:r>
      <w:r w:rsidR="00A92885">
        <w:rPr>
          <w:rFonts w:ascii="Arial" w:hAnsi="Arial" w:cs="Arial"/>
          <w:sz w:val="22"/>
          <w:szCs w:val="22"/>
        </w:rPr>
        <w:t>o golfový sport</w:t>
      </w:r>
      <w:r w:rsidRPr="00A92885">
        <w:rPr>
          <w:rFonts w:ascii="Arial" w:hAnsi="Arial" w:cs="Arial"/>
          <w:sz w:val="22"/>
          <w:szCs w:val="22"/>
        </w:rPr>
        <w:t>.</w:t>
      </w:r>
    </w:p>
    <w:p w:rsidR="00A92885" w:rsidRDefault="00A92885" w:rsidP="00A92885">
      <w:pPr>
        <w:pStyle w:val="Default"/>
        <w:spacing w:after="51"/>
        <w:ind w:left="284"/>
        <w:jc w:val="both"/>
        <w:rPr>
          <w:rFonts w:ascii="Arial" w:hAnsi="Arial" w:cs="Arial"/>
          <w:sz w:val="22"/>
          <w:szCs w:val="22"/>
        </w:rPr>
      </w:pPr>
    </w:p>
    <w:p w:rsidR="003A28C4" w:rsidRPr="00A92885" w:rsidRDefault="003A28C4" w:rsidP="003A28C4">
      <w:pPr>
        <w:pStyle w:val="Default"/>
        <w:numPr>
          <w:ilvl w:val="0"/>
          <w:numId w:val="12"/>
        </w:numPr>
        <w:spacing w:after="51"/>
        <w:ind w:left="284" w:hanging="284"/>
        <w:jc w:val="both"/>
        <w:rPr>
          <w:rFonts w:ascii="Arial" w:hAnsi="Arial" w:cs="Arial"/>
          <w:sz w:val="22"/>
          <w:szCs w:val="22"/>
        </w:rPr>
      </w:pPr>
      <w:r w:rsidRPr="00A92885">
        <w:rPr>
          <w:rFonts w:ascii="Arial" w:hAnsi="Arial" w:cs="Arial"/>
          <w:sz w:val="22"/>
          <w:szCs w:val="22"/>
        </w:rPr>
        <w:t xml:space="preserve"> Bližší podmínky Fúze jsou stanoveny v návrhu Smlouvy o fúzi Zúčastněných spolků. </w:t>
      </w:r>
    </w:p>
    <w:p w:rsidR="003A28C4" w:rsidRPr="003A28C4" w:rsidRDefault="003A28C4" w:rsidP="003A28C4">
      <w:pPr>
        <w:pStyle w:val="Default"/>
        <w:jc w:val="both"/>
        <w:rPr>
          <w:rFonts w:ascii="Arial" w:hAnsi="Arial" w:cs="Arial"/>
          <w:sz w:val="22"/>
          <w:szCs w:val="22"/>
        </w:rPr>
      </w:pPr>
    </w:p>
    <w:p w:rsidR="003A28C4" w:rsidRPr="003A28C4" w:rsidRDefault="003A28C4" w:rsidP="003A28C4">
      <w:pPr>
        <w:pStyle w:val="Default"/>
        <w:jc w:val="both"/>
        <w:rPr>
          <w:rFonts w:ascii="Arial" w:hAnsi="Arial" w:cs="Arial"/>
          <w:color w:val="auto"/>
          <w:sz w:val="22"/>
          <w:szCs w:val="22"/>
        </w:rPr>
      </w:pPr>
    </w:p>
    <w:p w:rsidR="003A28C4" w:rsidRPr="003A28C4" w:rsidRDefault="003A28C4" w:rsidP="002A150B">
      <w:pPr>
        <w:pStyle w:val="Default"/>
        <w:pageBreakBefore/>
        <w:jc w:val="center"/>
        <w:rPr>
          <w:rFonts w:ascii="Arial" w:hAnsi="Arial" w:cs="Arial"/>
          <w:color w:val="auto"/>
          <w:sz w:val="22"/>
          <w:szCs w:val="22"/>
        </w:rPr>
      </w:pPr>
      <w:r w:rsidRPr="003A28C4">
        <w:rPr>
          <w:rFonts w:ascii="Arial" w:hAnsi="Arial" w:cs="Arial"/>
          <w:b/>
          <w:bCs/>
          <w:color w:val="auto"/>
          <w:sz w:val="22"/>
          <w:szCs w:val="22"/>
        </w:rPr>
        <w:lastRenderedPageBreak/>
        <w:t>Čl. II</w:t>
      </w:r>
    </w:p>
    <w:p w:rsidR="003A28C4" w:rsidRDefault="003A28C4" w:rsidP="002A150B">
      <w:pPr>
        <w:pStyle w:val="Default"/>
        <w:jc w:val="center"/>
        <w:rPr>
          <w:rFonts w:ascii="Arial" w:hAnsi="Arial" w:cs="Arial"/>
          <w:b/>
          <w:bCs/>
          <w:color w:val="auto"/>
          <w:sz w:val="22"/>
          <w:szCs w:val="22"/>
        </w:rPr>
      </w:pPr>
      <w:r w:rsidRPr="003A28C4">
        <w:rPr>
          <w:rFonts w:ascii="Arial" w:hAnsi="Arial" w:cs="Arial"/>
          <w:b/>
          <w:bCs/>
          <w:color w:val="auto"/>
          <w:sz w:val="22"/>
          <w:szCs w:val="22"/>
        </w:rPr>
        <w:t>Hospodářské důvody fúze</w:t>
      </w:r>
    </w:p>
    <w:p w:rsidR="002A150B" w:rsidRPr="003A28C4" w:rsidRDefault="002A150B" w:rsidP="002A150B">
      <w:pPr>
        <w:pStyle w:val="Default"/>
        <w:jc w:val="center"/>
        <w:rPr>
          <w:rFonts w:ascii="Arial" w:hAnsi="Arial" w:cs="Arial"/>
          <w:color w:val="auto"/>
          <w:sz w:val="22"/>
          <w:szCs w:val="22"/>
        </w:rPr>
      </w:pPr>
    </w:p>
    <w:p w:rsidR="003A28C4" w:rsidRPr="00EA4BC2" w:rsidRDefault="003A28C4" w:rsidP="002A150B">
      <w:pPr>
        <w:pStyle w:val="Default"/>
        <w:numPr>
          <w:ilvl w:val="0"/>
          <w:numId w:val="13"/>
        </w:numPr>
        <w:ind w:left="284" w:hanging="284"/>
        <w:jc w:val="both"/>
        <w:rPr>
          <w:rFonts w:ascii="Arial" w:hAnsi="Arial" w:cs="Arial"/>
          <w:color w:val="auto"/>
          <w:sz w:val="22"/>
          <w:szCs w:val="22"/>
        </w:rPr>
      </w:pPr>
      <w:r w:rsidRPr="00EA4BC2">
        <w:rPr>
          <w:rFonts w:ascii="Arial" w:hAnsi="Arial" w:cs="Arial"/>
          <w:color w:val="auto"/>
          <w:sz w:val="22"/>
          <w:szCs w:val="22"/>
        </w:rPr>
        <w:t xml:space="preserve">Ze stanov </w:t>
      </w:r>
      <w:r w:rsidR="002A150B" w:rsidRPr="00EA4BC2">
        <w:rPr>
          <w:rFonts w:ascii="Arial" w:hAnsi="Arial" w:cs="Arial"/>
          <w:sz w:val="22"/>
          <w:szCs w:val="22"/>
        </w:rPr>
        <w:t xml:space="preserve">GCHK a GCNV </w:t>
      </w:r>
      <w:r w:rsidRPr="00EA4BC2">
        <w:rPr>
          <w:rFonts w:ascii="Arial" w:hAnsi="Arial" w:cs="Arial"/>
          <w:color w:val="auto"/>
          <w:sz w:val="22"/>
          <w:szCs w:val="22"/>
        </w:rPr>
        <w:t xml:space="preserve">vyplývá, že cíle obou Zúčastněných spolků jsou obdobné a jejich členové se v této oblasti sdružují za obdobným účelem. Souběžné fungování dvou spolků se shodným účelem se ve stávající době již nejeví tolik efektivní k naplňování společného cíle. </w:t>
      </w:r>
    </w:p>
    <w:p w:rsidR="003A28C4" w:rsidRDefault="003A28C4" w:rsidP="003A28C4">
      <w:pPr>
        <w:pStyle w:val="Default"/>
        <w:jc w:val="both"/>
        <w:rPr>
          <w:rFonts w:ascii="Arial" w:hAnsi="Arial" w:cs="Arial"/>
          <w:color w:val="auto"/>
          <w:sz w:val="22"/>
          <w:szCs w:val="22"/>
        </w:rPr>
      </w:pPr>
    </w:p>
    <w:p w:rsidR="002A150B" w:rsidRPr="003A28C4" w:rsidRDefault="002A150B" w:rsidP="003A28C4">
      <w:pPr>
        <w:pStyle w:val="Default"/>
        <w:jc w:val="both"/>
        <w:rPr>
          <w:rFonts w:ascii="Arial" w:hAnsi="Arial" w:cs="Arial"/>
          <w:color w:val="auto"/>
          <w:sz w:val="22"/>
          <w:szCs w:val="22"/>
        </w:rPr>
      </w:pPr>
    </w:p>
    <w:p w:rsidR="003A28C4" w:rsidRPr="003A28C4" w:rsidRDefault="003A28C4" w:rsidP="002A150B">
      <w:pPr>
        <w:pStyle w:val="Default"/>
        <w:jc w:val="center"/>
        <w:rPr>
          <w:rFonts w:ascii="Arial" w:hAnsi="Arial" w:cs="Arial"/>
          <w:color w:val="auto"/>
          <w:sz w:val="22"/>
          <w:szCs w:val="22"/>
        </w:rPr>
      </w:pPr>
      <w:r w:rsidRPr="003A28C4">
        <w:rPr>
          <w:rFonts w:ascii="Arial" w:hAnsi="Arial" w:cs="Arial"/>
          <w:b/>
          <w:bCs/>
          <w:color w:val="auto"/>
          <w:sz w:val="22"/>
          <w:szCs w:val="22"/>
        </w:rPr>
        <w:t>Čl. III</w:t>
      </w:r>
    </w:p>
    <w:p w:rsidR="003A28C4" w:rsidRDefault="003A28C4" w:rsidP="002A150B">
      <w:pPr>
        <w:pStyle w:val="Default"/>
        <w:jc w:val="center"/>
        <w:rPr>
          <w:rFonts w:ascii="Arial" w:hAnsi="Arial" w:cs="Arial"/>
          <w:b/>
          <w:bCs/>
          <w:color w:val="auto"/>
          <w:sz w:val="22"/>
          <w:szCs w:val="22"/>
        </w:rPr>
      </w:pPr>
      <w:r w:rsidRPr="003A28C4">
        <w:rPr>
          <w:rFonts w:ascii="Arial" w:hAnsi="Arial" w:cs="Arial"/>
          <w:b/>
          <w:bCs/>
          <w:color w:val="auto"/>
          <w:sz w:val="22"/>
          <w:szCs w:val="22"/>
        </w:rPr>
        <w:t>Právní důvody Fúze</w:t>
      </w:r>
    </w:p>
    <w:p w:rsidR="002A150B" w:rsidRPr="003A28C4" w:rsidRDefault="002A150B" w:rsidP="002A150B">
      <w:pPr>
        <w:pStyle w:val="Default"/>
        <w:jc w:val="center"/>
        <w:rPr>
          <w:rFonts w:ascii="Arial" w:hAnsi="Arial" w:cs="Arial"/>
          <w:color w:val="auto"/>
          <w:sz w:val="22"/>
          <w:szCs w:val="22"/>
        </w:rPr>
      </w:pPr>
    </w:p>
    <w:p w:rsidR="00DF716F" w:rsidRDefault="00DF716F" w:rsidP="00DF716F">
      <w:pPr>
        <w:pStyle w:val="Default"/>
        <w:numPr>
          <w:ilvl w:val="0"/>
          <w:numId w:val="14"/>
        </w:numPr>
        <w:spacing w:after="49"/>
        <w:ind w:left="284" w:hanging="284"/>
        <w:jc w:val="both"/>
        <w:rPr>
          <w:rFonts w:ascii="Arial" w:hAnsi="Arial" w:cs="Arial"/>
          <w:color w:val="auto"/>
          <w:sz w:val="22"/>
          <w:szCs w:val="22"/>
        </w:rPr>
      </w:pPr>
      <w:r>
        <w:rPr>
          <w:rFonts w:ascii="Arial" w:hAnsi="Arial" w:cs="Arial"/>
          <w:sz w:val="22"/>
          <w:szCs w:val="22"/>
        </w:rPr>
        <w:t>GCHK a GCNV</w:t>
      </w:r>
      <w:r w:rsidRPr="003A28C4">
        <w:rPr>
          <w:rFonts w:ascii="Arial" w:hAnsi="Arial" w:cs="Arial"/>
          <w:sz w:val="22"/>
          <w:szCs w:val="22"/>
        </w:rPr>
        <w:t xml:space="preserve"> </w:t>
      </w:r>
      <w:r w:rsidR="003A28C4" w:rsidRPr="003A28C4">
        <w:rPr>
          <w:rFonts w:ascii="Arial" w:hAnsi="Arial" w:cs="Arial"/>
          <w:color w:val="auto"/>
          <w:sz w:val="22"/>
          <w:szCs w:val="22"/>
        </w:rPr>
        <w:t>jsou právnické osoby, řídící se zákonem č. 89/2012 Sb., občanský zákoník, ve znění pozdějších předpisů („</w:t>
      </w:r>
      <w:r w:rsidR="003A28C4" w:rsidRPr="00DF716F">
        <w:rPr>
          <w:rFonts w:ascii="Arial" w:hAnsi="Arial" w:cs="Arial"/>
          <w:b/>
          <w:color w:val="auto"/>
          <w:sz w:val="22"/>
          <w:szCs w:val="22"/>
        </w:rPr>
        <w:t>Občanský zákoník</w:t>
      </w:r>
      <w:r w:rsidR="003A28C4" w:rsidRPr="003A28C4">
        <w:rPr>
          <w:rFonts w:ascii="Arial" w:hAnsi="Arial" w:cs="Arial"/>
          <w:color w:val="auto"/>
          <w:sz w:val="22"/>
          <w:szCs w:val="22"/>
        </w:rPr>
        <w:t>“)</w:t>
      </w:r>
      <w:r>
        <w:rPr>
          <w:rFonts w:ascii="Arial" w:hAnsi="Arial" w:cs="Arial"/>
          <w:color w:val="auto"/>
          <w:sz w:val="22"/>
          <w:szCs w:val="22"/>
        </w:rPr>
        <w:t>.</w:t>
      </w:r>
    </w:p>
    <w:p w:rsidR="00DF716F" w:rsidRDefault="00DF716F" w:rsidP="00DF716F">
      <w:pPr>
        <w:pStyle w:val="Default"/>
        <w:spacing w:after="49"/>
        <w:ind w:left="284"/>
        <w:jc w:val="both"/>
        <w:rPr>
          <w:rFonts w:ascii="Arial" w:hAnsi="Arial" w:cs="Arial"/>
          <w:color w:val="auto"/>
          <w:sz w:val="22"/>
          <w:szCs w:val="22"/>
        </w:rPr>
      </w:pPr>
    </w:p>
    <w:p w:rsidR="00DF716F" w:rsidRDefault="003A28C4" w:rsidP="003A28C4">
      <w:pPr>
        <w:pStyle w:val="Default"/>
        <w:numPr>
          <w:ilvl w:val="0"/>
          <w:numId w:val="14"/>
        </w:numPr>
        <w:spacing w:after="49"/>
        <w:ind w:left="284" w:hanging="284"/>
        <w:jc w:val="both"/>
        <w:rPr>
          <w:rFonts w:ascii="Arial" w:hAnsi="Arial" w:cs="Arial"/>
          <w:color w:val="auto"/>
          <w:sz w:val="22"/>
          <w:szCs w:val="22"/>
        </w:rPr>
      </w:pPr>
      <w:r w:rsidRPr="00DF716F">
        <w:rPr>
          <w:rFonts w:ascii="Arial" w:hAnsi="Arial" w:cs="Arial"/>
          <w:color w:val="auto"/>
          <w:sz w:val="22"/>
          <w:szCs w:val="22"/>
        </w:rPr>
        <w:t>Obecná úprava přeměn právnických osob (§ 174 a násl. Občanského zákoníku) upravuje tři způsoby přeměn, a to fúzi, rozdělení a změnu právní formy. Přeměna právnické osoby je dovolená jen tehdy, pokud tak stanoví zákon. Transformace právní formy spolku není dovolena. Spolek tedy nelze přeměnit na jinou formu právnické osoby (fundace, ústav apod.). Fúze spolků sloučením je tak v souladu se zákonem.</w:t>
      </w:r>
    </w:p>
    <w:p w:rsidR="00DF716F" w:rsidRDefault="00DF716F" w:rsidP="00DF716F">
      <w:pPr>
        <w:pStyle w:val="Default"/>
        <w:spacing w:after="49"/>
        <w:ind w:left="284"/>
        <w:jc w:val="both"/>
        <w:rPr>
          <w:rFonts w:ascii="Arial" w:hAnsi="Arial" w:cs="Arial"/>
          <w:color w:val="auto"/>
          <w:sz w:val="22"/>
          <w:szCs w:val="22"/>
        </w:rPr>
      </w:pPr>
    </w:p>
    <w:p w:rsidR="00DF716F" w:rsidRDefault="003A28C4" w:rsidP="003A28C4">
      <w:pPr>
        <w:pStyle w:val="Default"/>
        <w:numPr>
          <w:ilvl w:val="0"/>
          <w:numId w:val="14"/>
        </w:numPr>
        <w:spacing w:after="49"/>
        <w:ind w:left="284" w:hanging="284"/>
        <w:jc w:val="both"/>
        <w:rPr>
          <w:rFonts w:ascii="Arial" w:hAnsi="Arial" w:cs="Arial"/>
          <w:color w:val="auto"/>
          <w:sz w:val="22"/>
          <w:szCs w:val="22"/>
        </w:rPr>
      </w:pPr>
      <w:r w:rsidRPr="00DF716F">
        <w:rPr>
          <w:rFonts w:ascii="Arial" w:hAnsi="Arial" w:cs="Arial"/>
          <w:color w:val="auto"/>
          <w:sz w:val="22"/>
          <w:szCs w:val="22"/>
        </w:rPr>
        <w:t>Povinným předpokladem Fúze je schválení a uzavření Smlouvy o fúzi oběma Zúčastněnými spolky, přičemž návrh Smlouvy o fúzi schvalují nejvyšší orgány Zúčastněných spolků.</w:t>
      </w:r>
    </w:p>
    <w:p w:rsidR="00DF716F" w:rsidRDefault="00DF716F" w:rsidP="00DF716F">
      <w:pPr>
        <w:pStyle w:val="Default"/>
        <w:spacing w:after="49"/>
        <w:ind w:left="284"/>
        <w:jc w:val="both"/>
        <w:rPr>
          <w:rFonts w:ascii="Arial" w:hAnsi="Arial" w:cs="Arial"/>
          <w:color w:val="auto"/>
          <w:sz w:val="22"/>
          <w:szCs w:val="22"/>
        </w:rPr>
      </w:pPr>
    </w:p>
    <w:p w:rsidR="00DF716F" w:rsidRDefault="003A28C4" w:rsidP="003A28C4">
      <w:pPr>
        <w:pStyle w:val="Default"/>
        <w:numPr>
          <w:ilvl w:val="0"/>
          <w:numId w:val="14"/>
        </w:numPr>
        <w:spacing w:after="49"/>
        <w:ind w:left="284" w:hanging="284"/>
        <w:jc w:val="both"/>
        <w:rPr>
          <w:rFonts w:ascii="Arial" w:hAnsi="Arial" w:cs="Arial"/>
          <w:color w:val="auto"/>
          <w:sz w:val="22"/>
          <w:szCs w:val="22"/>
        </w:rPr>
      </w:pPr>
      <w:r w:rsidRPr="00DF716F">
        <w:rPr>
          <w:rFonts w:ascii="Arial" w:hAnsi="Arial" w:cs="Arial"/>
          <w:color w:val="auto"/>
          <w:sz w:val="22"/>
          <w:szCs w:val="22"/>
        </w:rPr>
        <w:t>Smlouva o fúzi obsahuje alespoň údaje o názvu, sídle a identifikující údaj každého ze Zúčastněných spolků s uvedením, který spolek je zanikající a který nástupnický, a rozhodný den (§ 275 Občanského zákoníku).</w:t>
      </w:r>
    </w:p>
    <w:p w:rsidR="00DF716F" w:rsidRDefault="00DF716F" w:rsidP="00DF716F">
      <w:pPr>
        <w:pStyle w:val="Default"/>
        <w:spacing w:after="49"/>
        <w:ind w:left="284"/>
        <w:jc w:val="both"/>
        <w:rPr>
          <w:rFonts w:ascii="Arial" w:hAnsi="Arial" w:cs="Arial"/>
          <w:color w:val="auto"/>
          <w:sz w:val="22"/>
          <w:szCs w:val="22"/>
        </w:rPr>
      </w:pPr>
    </w:p>
    <w:p w:rsidR="00DF716F" w:rsidRDefault="003A28C4" w:rsidP="00DF716F">
      <w:pPr>
        <w:pStyle w:val="Default"/>
        <w:numPr>
          <w:ilvl w:val="0"/>
          <w:numId w:val="14"/>
        </w:numPr>
        <w:spacing w:after="49"/>
        <w:ind w:left="284" w:hanging="284"/>
        <w:jc w:val="both"/>
        <w:rPr>
          <w:rFonts w:ascii="Arial" w:hAnsi="Arial" w:cs="Arial"/>
          <w:color w:val="auto"/>
          <w:sz w:val="22"/>
          <w:szCs w:val="22"/>
        </w:rPr>
      </w:pPr>
      <w:r w:rsidRPr="00DF716F">
        <w:rPr>
          <w:rFonts w:ascii="Arial" w:hAnsi="Arial" w:cs="Arial"/>
          <w:color w:val="auto"/>
          <w:sz w:val="22"/>
          <w:szCs w:val="22"/>
        </w:rPr>
        <w:t>Ve lhůtě nejméně 30 dnů přede dnem konání zasedání nejvyšších orgánů Zúčastněných spolků budou všem členům Zúčastněných spolků zpřístupněny v sídle obou spolků:</w:t>
      </w:r>
    </w:p>
    <w:p w:rsidR="00DF716F" w:rsidRDefault="00DF716F" w:rsidP="00DF716F">
      <w:pPr>
        <w:pStyle w:val="Odstavecseseznamem"/>
        <w:rPr>
          <w:rFonts w:ascii="Arial" w:hAnsi="Arial" w:cs="Arial"/>
        </w:rPr>
      </w:pPr>
    </w:p>
    <w:p w:rsidR="00DF716F" w:rsidRPr="00DF716F" w:rsidRDefault="003A28C4" w:rsidP="00DF716F">
      <w:pPr>
        <w:pStyle w:val="Default"/>
        <w:numPr>
          <w:ilvl w:val="1"/>
          <w:numId w:val="15"/>
        </w:numPr>
        <w:spacing w:after="49"/>
        <w:ind w:left="851" w:hanging="284"/>
        <w:jc w:val="both"/>
        <w:rPr>
          <w:rFonts w:ascii="Arial" w:hAnsi="Arial" w:cs="Arial"/>
          <w:color w:val="auto"/>
          <w:sz w:val="22"/>
          <w:szCs w:val="22"/>
        </w:rPr>
      </w:pPr>
      <w:r w:rsidRPr="00DF716F">
        <w:rPr>
          <w:rFonts w:ascii="Arial" w:hAnsi="Arial" w:cs="Arial"/>
          <w:color w:val="auto"/>
          <w:sz w:val="22"/>
          <w:szCs w:val="22"/>
        </w:rPr>
        <w:t>návrh Smlouvy o fúzi,</w:t>
      </w:r>
    </w:p>
    <w:p w:rsidR="00DF716F" w:rsidRDefault="003A28C4" w:rsidP="00DF716F">
      <w:pPr>
        <w:pStyle w:val="Default"/>
        <w:numPr>
          <w:ilvl w:val="1"/>
          <w:numId w:val="15"/>
        </w:numPr>
        <w:spacing w:after="49"/>
        <w:ind w:left="851" w:hanging="284"/>
        <w:jc w:val="both"/>
        <w:rPr>
          <w:rFonts w:ascii="Arial" w:hAnsi="Arial" w:cs="Arial"/>
          <w:color w:val="auto"/>
          <w:sz w:val="22"/>
          <w:szCs w:val="22"/>
        </w:rPr>
      </w:pPr>
      <w:r w:rsidRPr="00DF716F">
        <w:rPr>
          <w:rFonts w:ascii="Arial" w:hAnsi="Arial" w:cs="Arial"/>
          <w:color w:val="auto"/>
          <w:sz w:val="22"/>
          <w:szCs w:val="22"/>
        </w:rPr>
        <w:t>stanovy Nástupnického spolku</w:t>
      </w:r>
    </w:p>
    <w:p w:rsidR="003A28C4" w:rsidRDefault="003A28C4" w:rsidP="00DF716F">
      <w:pPr>
        <w:pStyle w:val="Default"/>
        <w:numPr>
          <w:ilvl w:val="1"/>
          <w:numId w:val="15"/>
        </w:numPr>
        <w:spacing w:after="49"/>
        <w:ind w:left="851" w:hanging="284"/>
        <w:jc w:val="both"/>
        <w:rPr>
          <w:rFonts w:ascii="Arial" w:hAnsi="Arial" w:cs="Arial"/>
          <w:color w:val="auto"/>
          <w:sz w:val="22"/>
          <w:szCs w:val="22"/>
        </w:rPr>
      </w:pPr>
      <w:r w:rsidRPr="00DF716F">
        <w:rPr>
          <w:rFonts w:ascii="Arial" w:hAnsi="Arial" w:cs="Arial"/>
          <w:color w:val="auto"/>
          <w:sz w:val="22"/>
          <w:szCs w:val="22"/>
        </w:rPr>
        <w:t xml:space="preserve">výkaz majetku a závazků Zúčastněných spolků ne starší než 6 měsíců </w:t>
      </w:r>
    </w:p>
    <w:p w:rsidR="003A28C4" w:rsidRPr="00DF716F" w:rsidRDefault="003A28C4" w:rsidP="00DF716F">
      <w:pPr>
        <w:pStyle w:val="Default"/>
        <w:numPr>
          <w:ilvl w:val="1"/>
          <w:numId w:val="15"/>
        </w:numPr>
        <w:spacing w:after="49"/>
        <w:ind w:left="851" w:hanging="284"/>
        <w:jc w:val="both"/>
        <w:rPr>
          <w:rFonts w:ascii="Arial" w:hAnsi="Arial" w:cs="Arial"/>
          <w:color w:val="auto"/>
          <w:sz w:val="22"/>
          <w:szCs w:val="22"/>
        </w:rPr>
      </w:pPr>
      <w:r w:rsidRPr="00DF716F">
        <w:rPr>
          <w:rFonts w:ascii="Arial" w:hAnsi="Arial" w:cs="Arial"/>
          <w:color w:val="auto"/>
          <w:sz w:val="22"/>
          <w:szCs w:val="22"/>
        </w:rPr>
        <w:t xml:space="preserve">tato zpráva vysvětlující hospodářské i právní důvody a důsledky fúze. </w:t>
      </w:r>
    </w:p>
    <w:p w:rsidR="003A28C4" w:rsidRPr="003A28C4" w:rsidRDefault="003A28C4" w:rsidP="003A28C4">
      <w:pPr>
        <w:pStyle w:val="Default"/>
        <w:numPr>
          <w:ilvl w:val="1"/>
          <w:numId w:val="4"/>
        </w:numPr>
        <w:jc w:val="both"/>
        <w:rPr>
          <w:rFonts w:ascii="Arial" w:hAnsi="Arial" w:cs="Arial"/>
          <w:color w:val="auto"/>
          <w:sz w:val="22"/>
          <w:szCs w:val="22"/>
        </w:rPr>
      </w:pPr>
    </w:p>
    <w:p w:rsidR="003A28C4" w:rsidRPr="003A28C4" w:rsidRDefault="003A28C4" w:rsidP="003A28C4">
      <w:pPr>
        <w:pStyle w:val="Default"/>
        <w:jc w:val="both"/>
        <w:rPr>
          <w:rFonts w:ascii="Arial" w:hAnsi="Arial" w:cs="Arial"/>
          <w:color w:val="auto"/>
          <w:sz w:val="22"/>
          <w:szCs w:val="22"/>
        </w:rPr>
      </w:pPr>
    </w:p>
    <w:p w:rsidR="003A28C4" w:rsidRPr="003A28C4" w:rsidRDefault="003A28C4" w:rsidP="00DF716F">
      <w:pPr>
        <w:pStyle w:val="Default"/>
        <w:ind w:firstLine="284"/>
        <w:jc w:val="both"/>
        <w:rPr>
          <w:rFonts w:ascii="Arial" w:hAnsi="Arial" w:cs="Arial"/>
          <w:color w:val="auto"/>
          <w:sz w:val="22"/>
          <w:szCs w:val="22"/>
        </w:rPr>
      </w:pPr>
      <w:r w:rsidRPr="003A28C4">
        <w:rPr>
          <w:rFonts w:ascii="Arial" w:hAnsi="Arial" w:cs="Arial"/>
          <w:color w:val="auto"/>
          <w:sz w:val="22"/>
          <w:szCs w:val="22"/>
        </w:rPr>
        <w:t xml:space="preserve">Dokumenty budou zpřístupněny i na webových stránkách obou spolků. </w:t>
      </w:r>
    </w:p>
    <w:p w:rsidR="00DF716F" w:rsidRDefault="00DF716F" w:rsidP="003A28C4">
      <w:pPr>
        <w:pStyle w:val="Default"/>
        <w:spacing w:after="51"/>
        <w:jc w:val="both"/>
        <w:rPr>
          <w:rFonts w:ascii="Arial" w:hAnsi="Arial" w:cs="Arial"/>
          <w:color w:val="auto"/>
          <w:sz w:val="22"/>
          <w:szCs w:val="22"/>
        </w:rPr>
      </w:pPr>
    </w:p>
    <w:p w:rsidR="00DF716F" w:rsidRPr="00EA4BC2" w:rsidRDefault="003A28C4" w:rsidP="00DF716F">
      <w:pPr>
        <w:pStyle w:val="Default"/>
        <w:numPr>
          <w:ilvl w:val="0"/>
          <w:numId w:val="14"/>
        </w:numPr>
        <w:spacing w:after="51"/>
        <w:ind w:left="284" w:hanging="284"/>
        <w:jc w:val="both"/>
        <w:rPr>
          <w:rFonts w:ascii="Arial" w:hAnsi="Arial" w:cs="Arial"/>
          <w:color w:val="auto"/>
          <w:sz w:val="22"/>
          <w:szCs w:val="22"/>
        </w:rPr>
      </w:pPr>
      <w:r w:rsidRPr="00EA4BC2">
        <w:rPr>
          <w:rFonts w:ascii="Arial" w:hAnsi="Arial" w:cs="Arial"/>
          <w:color w:val="auto"/>
          <w:sz w:val="22"/>
          <w:szCs w:val="22"/>
        </w:rPr>
        <w:t>V souvislosti s Fúzí budou měněny i stanovy Nástupnického spolku,</w:t>
      </w:r>
      <w:r w:rsidR="008F64EB" w:rsidRPr="00EA4BC2">
        <w:rPr>
          <w:rFonts w:ascii="Arial" w:hAnsi="Arial" w:cs="Arial"/>
          <w:color w:val="auto"/>
          <w:sz w:val="22"/>
          <w:szCs w:val="22"/>
        </w:rPr>
        <w:t xml:space="preserve"> a to tak, že bude změněn</w:t>
      </w:r>
      <w:r w:rsidRPr="00EA4BC2">
        <w:rPr>
          <w:rFonts w:ascii="Arial" w:hAnsi="Arial" w:cs="Arial"/>
          <w:color w:val="auto"/>
          <w:sz w:val="22"/>
          <w:szCs w:val="22"/>
        </w:rPr>
        <w:t xml:space="preserve"> </w:t>
      </w:r>
      <w:r w:rsidR="008F64EB" w:rsidRPr="00EA4BC2">
        <w:rPr>
          <w:rFonts w:ascii="Arial" w:hAnsi="Arial" w:cs="Arial"/>
          <w:color w:val="auto"/>
          <w:sz w:val="22"/>
          <w:szCs w:val="22"/>
        </w:rPr>
        <w:t xml:space="preserve">že </w:t>
      </w:r>
      <w:proofErr w:type="spellStart"/>
      <w:r w:rsidR="008F64EB" w:rsidRPr="00EA4BC2">
        <w:rPr>
          <w:rFonts w:ascii="Arial" w:hAnsi="Arial" w:cs="Arial"/>
          <w:color w:val="auto"/>
          <w:sz w:val="22"/>
          <w:szCs w:val="22"/>
        </w:rPr>
        <w:t>čl.I</w:t>
      </w:r>
      <w:proofErr w:type="spellEnd"/>
      <w:r w:rsidR="008F64EB" w:rsidRPr="00EA4BC2">
        <w:rPr>
          <w:rFonts w:ascii="Arial" w:hAnsi="Arial" w:cs="Arial"/>
          <w:color w:val="auto"/>
          <w:sz w:val="22"/>
          <w:szCs w:val="22"/>
        </w:rPr>
        <w:t xml:space="preserve"> </w:t>
      </w:r>
      <w:proofErr w:type="gramStart"/>
      <w:r w:rsidR="008F64EB" w:rsidRPr="00EA4BC2">
        <w:rPr>
          <w:rFonts w:ascii="Arial" w:hAnsi="Arial" w:cs="Arial"/>
          <w:color w:val="auto"/>
          <w:sz w:val="22"/>
          <w:szCs w:val="22"/>
        </w:rPr>
        <w:t>odst.1.1</w:t>
      </w:r>
      <w:proofErr w:type="gramEnd"/>
      <w:r w:rsidR="008F64EB" w:rsidRPr="00EA4BC2">
        <w:rPr>
          <w:rFonts w:ascii="Arial" w:hAnsi="Arial" w:cs="Arial"/>
          <w:color w:val="auto"/>
          <w:sz w:val="22"/>
          <w:szCs w:val="22"/>
        </w:rPr>
        <w:t xml:space="preserve"> bude nově znít: </w:t>
      </w:r>
      <w:r w:rsidR="008F64EB" w:rsidRPr="00EA4BC2">
        <w:rPr>
          <w:rFonts w:ascii="Arial" w:hAnsi="Arial" w:cs="Arial"/>
          <w:i/>
          <w:color w:val="auto"/>
          <w:sz w:val="22"/>
          <w:szCs w:val="22"/>
        </w:rPr>
        <w:t xml:space="preserve">„1.1. Název spolku:  Golf Club Hradec Králové Na </w:t>
      </w:r>
      <w:proofErr w:type="gramStart"/>
      <w:r w:rsidR="008F64EB" w:rsidRPr="00EA4BC2">
        <w:rPr>
          <w:rFonts w:ascii="Arial" w:hAnsi="Arial" w:cs="Arial"/>
          <w:i/>
          <w:color w:val="auto"/>
          <w:sz w:val="22"/>
          <w:szCs w:val="22"/>
        </w:rPr>
        <w:t xml:space="preserve">Vrších </w:t>
      </w:r>
      <w:proofErr w:type="spellStart"/>
      <w:r w:rsidR="008F64EB" w:rsidRPr="00EA4BC2">
        <w:rPr>
          <w:rFonts w:ascii="Arial" w:hAnsi="Arial" w:cs="Arial"/>
          <w:i/>
          <w:color w:val="auto"/>
          <w:sz w:val="22"/>
          <w:szCs w:val="22"/>
        </w:rPr>
        <w:t>z.s</w:t>
      </w:r>
      <w:proofErr w:type="spellEnd"/>
      <w:r w:rsidR="008F64EB" w:rsidRPr="00EA4BC2">
        <w:rPr>
          <w:rFonts w:ascii="Arial" w:hAnsi="Arial" w:cs="Arial"/>
          <w:i/>
          <w:color w:val="auto"/>
          <w:sz w:val="22"/>
          <w:szCs w:val="22"/>
        </w:rPr>
        <w:t>.</w:t>
      </w:r>
      <w:proofErr w:type="gramEnd"/>
      <w:r w:rsidR="008F64EB" w:rsidRPr="00EA4BC2">
        <w:rPr>
          <w:rFonts w:ascii="Arial" w:hAnsi="Arial" w:cs="Arial"/>
          <w:i/>
          <w:color w:val="auto"/>
          <w:sz w:val="22"/>
          <w:szCs w:val="22"/>
        </w:rPr>
        <w:t xml:space="preserve"> (dále jen „spolek)</w:t>
      </w:r>
      <w:r w:rsidR="008F64EB" w:rsidRPr="00EA4BC2">
        <w:rPr>
          <w:rFonts w:ascii="Arial" w:hAnsi="Arial" w:cs="Arial"/>
          <w:i/>
          <w:color w:val="auto"/>
          <w:sz w:val="22"/>
          <w:szCs w:val="22"/>
        </w:rPr>
        <w:t xml:space="preserve">“, </w:t>
      </w:r>
      <w:r w:rsidR="008F64EB" w:rsidRPr="00EA4BC2">
        <w:rPr>
          <w:rFonts w:ascii="Arial" w:hAnsi="Arial" w:cs="Arial"/>
          <w:color w:val="auto"/>
          <w:sz w:val="22"/>
          <w:szCs w:val="22"/>
        </w:rPr>
        <w:t xml:space="preserve">tedy dojde ke změně názvu Nástupnického spolku na </w:t>
      </w:r>
      <w:r w:rsidR="008F64EB" w:rsidRPr="00EA4BC2">
        <w:rPr>
          <w:rFonts w:ascii="Arial" w:hAnsi="Arial" w:cs="Arial"/>
          <w:color w:val="auto"/>
          <w:sz w:val="22"/>
          <w:szCs w:val="22"/>
        </w:rPr>
        <w:t xml:space="preserve">Golf Club Hradec Králové Na Vrších </w:t>
      </w:r>
      <w:proofErr w:type="spellStart"/>
      <w:r w:rsidR="008F64EB" w:rsidRPr="00EA4BC2">
        <w:rPr>
          <w:rFonts w:ascii="Arial" w:hAnsi="Arial" w:cs="Arial"/>
          <w:color w:val="auto"/>
          <w:sz w:val="22"/>
          <w:szCs w:val="22"/>
        </w:rPr>
        <w:t>z.s</w:t>
      </w:r>
      <w:proofErr w:type="spellEnd"/>
      <w:r w:rsidR="008F64EB" w:rsidRPr="00EA4BC2">
        <w:rPr>
          <w:rFonts w:ascii="Arial" w:hAnsi="Arial" w:cs="Arial"/>
          <w:color w:val="auto"/>
          <w:sz w:val="22"/>
          <w:szCs w:val="22"/>
        </w:rPr>
        <w:t>.</w:t>
      </w:r>
      <w:r w:rsidR="008F64EB" w:rsidRPr="00EA4BC2">
        <w:rPr>
          <w:rFonts w:ascii="Arial" w:hAnsi="Arial" w:cs="Arial"/>
          <w:color w:val="auto"/>
          <w:sz w:val="22"/>
          <w:szCs w:val="22"/>
        </w:rPr>
        <w:t>.</w:t>
      </w:r>
      <w:r w:rsidR="008F64EB" w:rsidRPr="00EA4BC2">
        <w:rPr>
          <w:rFonts w:ascii="Arial" w:hAnsi="Arial" w:cs="Arial"/>
          <w:i/>
          <w:color w:val="auto"/>
          <w:sz w:val="22"/>
          <w:szCs w:val="22"/>
        </w:rPr>
        <w:t xml:space="preserve"> </w:t>
      </w:r>
    </w:p>
    <w:p w:rsidR="00EA4BC2" w:rsidRPr="00EA4BC2" w:rsidRDefault="00EA4BC2" w:rsidP="00EA4BC2">
      <w:pPr>
        <w:pStyle w:val="Default"/>
        <w:spacing w:after="51"/>
        <w:ind w:left="284"/>
        <w:jc w:val="both"/>
        <w:rPr>
          <w:rFonts w:ascii="Arial" w:hAnsi="Arial" w:cs="Arial"/>
          <w:color w:val="auto"/>
          <w:sz w:val="22"/>
          <w:szCs w:val="22"/>
        </w:rPr>
      </w:pPr>
    </w:p>
    <w:p w:rsidR="003A28C4" w:rsidRDefault="003A28C4" w:rsidP="003A28C4">
      <w:pPr>
        <w:pStyle w:val="Default"/>
        <w:numPr>
          <w:ilvl w:val="0"/>
          <w:numId w:val="14"/>
        </w:numPr>
        <w:spacing w:after="51"/>
        <w:ind w:left="284" w:hanging="284"/>
        <w:jc w:val="both"/>
        <w:rPr>
          <w:rFonts w:ascii="Arial" w:hAnsi="Arial" w:cs="Arial"/>
          <w:color w:val="auto"/>
          <w:sz w:val="22"/>
          <w:szCs w:val="22"/>
        </w:rPr>
      </w:pPr>
      <w:r w:rsidRPr="00EA4BC2">
        <w:rPr>
          <w:rFonts w:ascii="Arial" w:hAnsi="Arial" w:cs="Arial"/>
          <w:color w:val="auto"/>
          <w:sz w:val="22"/>
          <w:szCs w:val="22"/>
        </w:rPr>
        <w:t>Schválením Smlouvy o fúzi přistupují</w:t>
      </w:r>
      <w:r w:rsidRPr="00DF716F">
        <w:rPr>
          <w:rFonts w:ascii="Arial" w:hAnsi="Arial" w:cs="Arial"/>
          <w:color w:val="auto"/>
          <w:sz w:val="22"/>
          <w:szCs w:val="22"/>
        </w:rPr>
        <w:t xml:space="preserve"> členové </w:t>
      </w:r>
      <w:r w:rsidR="00DF716F">
        <w:rPr>
          <w:rFonts w:ascii="Arial" w:hAnsi="Arial" w:cs="Arial"/>
          <w:color w:val="auto"/>
          <w:sz w:val="22"/>
          <w:szCs w:val="22"/>
        </w:rPr>
        <w:t>GCNV</w:t>
      </w:r>
      <w:r w:rsidRPr="00DF716F">
        <w:rPr>
          <w:rFonts w:ascii="Arial" w:hAnsi="Arial" w:cs="Arial"/>
          <w:color w:val="auto"/>
          <w:sz w:val="22"/>
          <w:szCs w:val="22"/>
        </w:rPr>
        <w:t xml:space="preserve"> ke stanovám Nástupnického spolku </w:t>
      </w:r>
      <w:r w:rsidR="00DF716F">
        <w:rPr>
          <w:rFonts w:ascii="Arial" w:hAnsi="Arial" w:cs="Arial"/>
          <w:color w:val="auto"/>
          <w:sz w:val="22"/>
          <w:szCs w:val="22"/>
        </w:rPr>
        <w:t>GCHK</w:t>
      </w:r>
      <w:r w:rsidRPr="00DF716F">
        <w:rPr>
          <w:rFonts w:ascii="Arial" w:hAnsi="Arial" w:cs="Arial"/>
          <w:color w:val="auto"/>
          <w:sz w:val="22"/>
          <w:szCs w:val="22"/>
        </w:rPr>
        <w:t xml:space="preserve">, a to ve znění účinném k okamžiku schválení návrhu Smlouvy o fúzi. </w:t>
      </w:r>
    </w:p>
    <w:p w:rsidR="00DF716F" w:rsidRDefault="00DF716F" w:rsidP="00DF716F">
      <w:pPr>
        <w:pStyle w:val="Default"/>
        <w:spacing w:after="51"/>
        <w:ind w:left="284"/>
        <w:jc w:val="both"/>
        <w:rPr>
          <w:rFonts w:ascii="Arial" w:hAnsi="Arial" w:cs="Arial"/>
          <w:color w:val="auto"/>
          <w:sz w:val="22"/>
          <w:szCs w:val="22"/>
        </w:rPr>
      </w:pPr>
    </w:p>
    <w:p w:rsidR="00D6538F" w:rsidRDefault="003A28C4" w:rsidP="003A28C4">
      <w:pPr>
        <w:pStyle w:val="Default"/>
        <w:numPr>
          <w:ilvl w:val="0"/>
          <w:numId w:val="14"/>
        </w:numPr>
        <w:spacing w:after="51"/>
        <w:ind w:left="284" w:hanging="284"/>
        <w:jc w:val="both"/>
        <w:rPr>
          <w:rFonts w:ascii="Arial" w:hAnsi="Arial" w:cs="Arial"/>
          <w:color w:val="auto"/>
          <w:sz w:val="22"/>
          <w:szCs w:val="22"/>
        </w:rPr>
      </w:pPr>
      <w:r w:rsidRPr="00DF716F">
        <w:rPr>
          <w:rFonts w:ascii="Arial" w:hAnsi="Arial" w:cs="Arial"/>
          <w:color w:val="auto"/>
          <w:sz w:val="22"/>
          <w:szCs w:val="22"/>
        </w:rPr>
        <w:t>Vzhledem k tomu, že Zúčastněné spolky jsou příjemci plnění z veřejn</w:t>
      </w:r>
      <w:r w:rsidR="00DF716F">
        <w:rPr>
          <w:rFonts w:ascii="Arial" w:hAnsi="Arial" w:cs="Arial"/>
          <w:color w:val="auto"/>
          <w:sz w:val="22"/>
          <w:szCs w:val="22"/>
        </w:rPr>
        <w:t>ých</w:t>
      </w:r>
      <w:r w:rsidRPr="00DF716F">
        <w:rPr>
          <w:rFonts w:ascii="Arial" w:hAnsi="Arial" w:cs="Arial"/>
          <w:color w:val="auto"/>
          <w:sz w:val="22"/>
          <w:szCs w:val="22"/>
        </w:rPr>
        <w:t xml:space="preserve"> rozpočt</w:t>
      </w:r>
      <w:r w:rsidR="00DF716F">
        <w:rPr>
          <w:rFonts w:ascii="Arial" w:hAnsi="Arial" w:cs="Arial"/>
          <w:color w:val="auto"/>
          <w:sz w:val="22"/>
          <w:szCs w:val="22"/>
        </w:rPr>
        <w:t>ů</w:t>
      </w:r>
      <w:r w:rsidRPr="00DF716F">
        <w:rPr>
          <w:rFonts w:ascii="Arial" w:hAnsi="Arial" w:cs="Arial"/>
          <w:color w:val="auto"/>
          <w:sz w:val="22"/>
          <w:szCs w:val="22"/>
        </w:rPr>
        <w:t xml:space="preserve">, </w:t>
      </w:r>
      <w:r w:rsidR="00DF716F">
        <w:rPr>
          <w:rFonts w:ascii="Arial" w:hAnsi="Arial" w:cs="Arial"/>
          <w:color w:val="auto"/>
          <w:sz w:val="22"/>
          <w:szCs w:val="22"/>
        </w:rPr>
        <w:t>je</w:t>
      </w:r>
      <w:r w:rsidRPr="00DF716F">
        <w:rPr>
          <w:rFonts w:ascii="Arial" w:hAnsi="Arial" w:cs="Arial"/>
          <w:color w:val="auto"/>
          <w:sz w:val="22"/>
          <w:szCs w:val="22"/>
        </w:rPr>
        <w:t xml:space="preserve"> nutné zveřejnit společné oznámení o Fúzi postupem dle </w:t>
      </w:r>
      <w:proofErr w:type="spellStart"/>
      <w:r w:rsidRPr="00DF716F">
        <w:rPr>
          <w:rFonts w:ascii="Arial" w:hAnsi="Arial" w:cs="Arial"/>
          <w:color w:val="auto"/>
          <w:sz w:val="22"/>
          <w:szCs w:val="22"/>
        </w:rPr>
        <w:t>ust</w:t>
      </w:r>
      <w:proofErr w:type="spellEnd"/>
      <w:r w:rsidRPr="00DF716F">
        <w:rPr>
          <w:rFonts w:ascii="Arial" w:hAnsi="Arial" w:cs="Arial"/>
          <w:color w:val="auto"/>
          <w:sz w:val="22"/>
          <w:szCs w:val="22"/>
        </w:rPr>
        <w:t>. § 279 Občanského zákoníku.</w:t>
      </w:r>
    </w:p>
    <w:p w:rsidR="00D6538F" w:rsidRDefault="00D6538F" w:rsidP="00D6538F">
      <w:pPr>
        <w:pStyle w:val="Default"/>
        <w:spacing w:after="51"/>
        <w:ind w:left="284"/>
        <w:jc w:val="both"/>
        <w:rPr>
          <w:rFonts w:ascii="Arial" w:hAnsi="Arial" w:cs="Arial"/>
          <w:color w:val="auto"/>
          <w:sz w:val="22"/>
          <w:szCs w:val="22"/>
        </w:rPr>
      </w:pPr>
    </w:p>
    <w:p w:rsidR="003A28C4" w:rsidRPr="00D6538F" w:rsidRDefault="003A28C4" w:rsidP="003A28C4">
      <w:pPr>
        <w:pStyle w:val="Default"/>
        <w:numPr>
          <w:ilvl w:val="0"/>
          <w:numId w:val="14"/>
        </w:numPr>
        <w:spacing w:after="51"/>
        <w:ind w:left="284" w:hanging="284"/>
        <w:jc w:val="both"/>
        <w:rPr>
          <w:rFonts w:ascii="Arial" w:hAnsi="Arial" w:cs="Arial"/>
          <w:color w:val="auto"/>
          <w:sz w:val="22"/>
          <w:szCs w:val="22"/>
        </w:rPr>
      </w:pPr>
      <w:r w:rsidRPr="00D6538F">
        <w:rPr>
          <w:rFonts w:ascii="Arial" w:hAnsi="Arial" w:cs="Arial"/>
          <w:color w:val="auto"/>
          <w:sz w:val="22"/>
          <w:szCs w:val="22"/>
        </w:rPr>
        <w:t xml:space="preserve">Zrušení právnické osoby při přeměně je zvláštním případem, kdy se právnická osoba zrušuje bez likvidace. Zrušuje se pak dnem účinnosti přeměny, tedy dnem zápisu přeměny do spolkového rejstříku vedeného u </w:t>
      </w:r>
      <w:r w:rsidR="00D6538F">
        <w:rPr>
          <w:rFonts w:ascii="Arial" w:hAnsi="Arial" w:cs="Arial"/>
          <w:color w:val="auto"/>
          <w:sz w:val="22"/>
          <w:szCs w:val="22"/>
        </w:rPr>
        <w:t>Krajského soudu v Hradci Králové</w:t>
      </w:r>
      <w:r w:rsidRPr="00D6538F">
        <w:rPr>
          <w:rFonts w:ascii="Arial" w:hAnsi="Arial" w:cs="Arial"/>
          <w:color w:val="auto"/>
          <w:sz w:val="22"/>
          <w:szCs w:val="22"/>
        </w:rPr>
        <w:t xml:space="preserve">. </w:t>
      </w:r>
    </w:p>
    <w:p w:rsidR="003A28C4" w:rsidRDefault="003A28C4" w:rsidP="003A28C4">
      <w:pPr>
        <w:pStyle w:val="Default"/>
        <w:jc w:val="both"/>
        <w:rPr>
          <w:rFonts w:ascii="Arial" w:hAnsi="Arial" w:cs="Arial"/>
          <w:color w:val="auto"/>
          <w:sz w:val="22"/>
          <w:szCs w:val="22"/>
        </w:rPr>
      </w:pPr>
    </w:p>
    <w:p w:rsidR="00D6538F" w:rsidRPr="003A28C4" w:rsidRDefault="00D6538F" w:rsidP="003A28C4">
      <w:pPr>
        <w:pStyle w:val="Default"/>
        <w:jc w:val="both"/>
        <w:rPr>
          <w:rFonts w:ascii="Arial" w:hAnsi="Arial" w:cs="Arial"/>
          <w:color w:val="auto"/>
          <w:sz w:val="22"/>
          <w:szCs w:val="22"/>
        </w:rPr>
      </w:pPr>
    </w:p>
    <w:p w:rsidR="003A28C4" w:rsidRPr="003A28C4" w:rsidRDefault="003A28C4" w:rsidP="00D6538F">
      <w:pPr>
        <w:pStyle w:val="Default"/>
        <w:jc w:val="center"/>
        <w:rPr>
          <w:rFonts w:ascii="Arial" w:hAnsi="Arial" w:cs="Arial"/>
          <w:color w:val="auto"/>
          <w:sz w:val="22"/>
          <w:szCs w:val="22"/>
        </w:rPr>
      </w:pPr>
      <w:r w:rsidRPr="003A28C4">
        <w:rPr>
          <w:rFonts w:ascii="Arial" w:hAnsi="Arial" w:cs="Arial"/>
          <w:b/>
          <w:bCs/>
          <w:color w:val="auto"/>
          <w:sz w:val="22"/>
          <w:szCs w:val="22"/>
        </w:rPr>
        <w:t>Čl. IV</w:t>
      </w:r>
    </w:p>
    <w:p w:rsidR="003A28C4" w:rsidRDefault="003A28C4" w:rsidP="00D6538F">
      <w:pPr>
        <w:pStyle w:val="Default"/>
        <w:jc w:val="center"/>
        <w:rPr>
          <w:rFonts w:ascii="Arial" w:hAnsi="Arial" w:cs="Arial"/>
          <w:b/>
          <w:bCs/>
          <w:color w:val="auto"/>
          <w:sz w:val="22"/>
          <w:szCs w:val="22"/>
        </w:rPr>
      </w:pPr>
      <w:r w:rsidRPr="003A28C4">
        <w:rPr>
          <w:rFonts w:ascii="Arial" w:hAnsi="Arial" w:cs="Arial"/>
          <w:b/>
          <w:bCs/>
          <w:color w:val="auto"/>
          <w:sz w:val="22"/>
          <w:szCs w:val="22"/>
        </w:rPr>
        <w:t>Hospodářské důsledky Fúze</w:t>
      </w:r>
    </w:p>
    <w:p w:rsidR="00D6538F" w:rsidRPr="003A28C4" w:rsidRDefault="00D6538F" w:rsidP="00D6538F">
      <w:pPr>
        <w:pStyle w:val="Default"/>
        <w:jc w:val="center"/>
        <w:rPr>
          <w:rFonts w:ascii="Arial" w:hAnsi="Arial" w:cs="Arial"/>
          <w:color w:val="auto"/>
          <w:sz w:val="22"/>
          <w:szCs w:val="22"/>
        </w:rPr>
      </w:pPr>
    </w:p>
    <w:p w:rsidR="00D6538F" w:rsidRDefault="003A28C4" w:rsidP="00D6538F">
      <w:pPr>
        <w:pStyle w:val="Default"/>
        <w:numPr>
          <w:ilvl w:val="0"/>
          <w:numId w:val="17"/>
        </w:numPr>
        <w:ind w:left="284" w:hanging="284"/>
        <w:jc w:val="both"/>
        <w:rPr>
          <w:rFonts w:ascii="Arial" w:hAnsi="Arial" w:cs="Arial"/>
          <w:color w:val="auto"/>
          <w:sz w:val="22"/>
          <w:szCs w:val="22"/>
        </w:rPr>
      </w:pPr>
      <w:r w:rsidRPr="003A28C4">
        <w:rPr>
          <w:rFonts w:ascii="Arial" w:hAnsi="Arial" w:cs="Arial"/>
          <w:color w:val="auto"/>
          <w:sz w:val="22"/>
          <w:szCs w:val="22"/>
        </w:rPr>
        <w:t xml:space="preserve">Financování dřívějších aktivit </w:t>
      </w:r>
      <w:r w:rsidR="00D6538F">
        <w:rPr>
          <w:rFonts w:ascii="Arial" w:hAnsi="Arial" w:cs="Arial"/>
          <w:sz w:val="22"/>
          <w:szCs w:val="22"/>
        </w:rPr>
        <w:t>GCHK a GCNV</w:t>
      </w:r>
      <w:r w:rsidR="00D6538F" w:rsidRPr="003A28C4">
        <w:rPr>
          <w:rFonts w:ascii="Arial" w:hAnsi="Arial" w:cs="Arial"/>
          <w:sz w:val="22"/>
          <w:szCs w:val="22"/>
        </w:rPr>
        <w:t xml:space="preserve"> </w:t>
      </w:r>
      <w:r w:rsidRPr="003A28C4">
        <w:rPr>
          <w:rFonts w:ascii="Arial" w:hAnsi="Arial" w:cs="Arial"/>
          <w:color w:val="auto"/>
          <w:sz w:val="22"/>
          <w:szCs w:val="22"/>
        </w:rPr>
        <w:t>nebude ohroženo.</w:t>
      </w:r>
    </w:p>
    <w:p w:rsidR="00D6538F" w:rsidRDefault="00D6538F" w:rsidP="00D6538F">
      <w:pPr>
        <w:pStyle w:val="Default"/>
        <w:ind w:left="284"/>
        <w:jc w:val="both"/>
        <w:rPr>
          <w:rFonts w:ascii="Arial" w:hAnsi="Arial" w:cs="Arial"/>
          <w:color w:val="auto"/>
          <w:sz w:val="22"/>
          <w:szCs w:val="22"/>
        </w:rPr>
      </w:pPr>
    </w:p>
    <w:p w:rsidR="00D6538F" w:rsidRDefault="003A28C4" w:rsidP="00D6538F">
      <w:pPr>
        <w:pStyle w:val="Default"/>
        <w:numPr>
          <w:ilvl w:val="0"/>
          <w:numId w:val="17"/>
        </w:numPr>
        <w:ind w:left="284" w:hanging="284"/>
        <w:jc w:val="both"/>
        <w:rPr>
          <w:rFonts w:ascii="Arial" w:hAnsi="Arial" w:cs="Arial"/>
          <w:color w:val="auto"/>
          <w:sz w:val="22"/>
          <w:szCs w:val="22"/>
        </w:rPr>
      </w:pPr>
      <w:r w:rsidRPr="00D6538F">
        <w:rPr>
          <w:rFonts w:ascii="Arial" w:hAnsi="Arial" w:cs="Arial"/>
          <w:color w:val="auto"/>
          <w:sz w:val="22"/>
          <w:szCs w:val="22"/>
        </w:rPr>
        <w:t xml:space="preserve">Finanční prostředky a majetek, kterými </w:t>
      </w:r>
      <w:r w:rsidR="00D6538F">
        <w:rPr>
          <w:rFonts w:ascii="Arial" w:hAnsi="Arial" w:cs="Arial"/>
          <w:color w:val="auto"/>
          <w:sz w:val="22"/>
          <w:szCs w:val="22"/>
        </w:rPr>
        <w:t>GCNV</w:t>
      </w:r>
      <w:r w:rsidRPr="00D6538F">
        <w:rPr>
          <w:rFonts w:ascii="Arial" w:hAnsi="Arial" w:cs="Arial"/>
          <w:color w:val="auto"/>
          <w:sz w:val="22"/>
          <w:szCs w:val="22"/>
        </w:rPr>
        <w:t xml:space="preserve"> disponuje k Rozhodnému dni, budou převedeny v plném rozsahu do majetku </w:t>
      </w:r>
      <w:r w:rsidR="00D6538F">
        <w:rPr>
          <w:rFonts w:ascii="Arial" w:hAnsi="Arial" w:cs="Arial"/>
          <w:color w:val="auto"/>
          <w:sz w:val="22"/>
          <w:szCs w:val="22"/>
        </w:rPr>
        <w:t>GCHK</w:t>
      </w:r>
      <w:r w:rsidRPr="00D6538F">
        <w:rPr>
          <w:rFonts w:ascii="Arial" w:hAnsi="Arial" w:cs="Arial"/>
          <w:color w:val="auto"/>
          <w:sz w:val="22"/>
          <w:szCs w:val="22"/>
        </w:rPr>
        <w:t>.</w:t>
      </w:r>
    </w:p>
    <w:p w:rsidR="00D6538F" w:rsidRDefault="00D6538F" w:rsidP="00D6538F">
      <w:pPr>
        <w:pStyle w:val="Default"/>
        <w:ind w:left="284"/>
        <w:jc w:val="both"/>
        <w:rPr>
          <w:rFonts w:ascii="Arial" w:hAnsi="Arial" w:cs="Arial"/>
          <w:color w:val="auto"/>
          <w:sz w:val="22"/>
          <w:szCs w:val="22"/>
        </w:rPr>
      </w:pPr>
    </w:p>
    <w:p w:rsidR="003A28C4" w:rsidRPr="00D6538F" w:rsidRDefault="003A28C4" w:rsidP="003A28C4">
      <w:pPr>
        <w:pStyle w:val="Default"/>
        <w:numPr>
          <w:ilvl w:val="0"/>
          <w:numId w:val="17"/>
        </w:numPr>
        <w:ind w:left="284" w:hanging="284"/>
        <w:jc w:val="both"/>
        <w:rPr>
          <w:rFonts w:ascii="Arial" w:hAnsi="Arial" w:cs="Arial"/>
          <w:color w:val="auto"/>
          <w:sz w:val="22"/>
          <w:szCs w:val="22"/>
        </w:rPr>
      </w:pPr>
      <w:r w:rsidRPr="00D6538F">
        <w:rPr>
          <w:rFonts w:ascii="Arial" w:hAnsi="Arial" w:cs="Arial"/>
          <w:color w:val="auto"/>
          <w:sz w:val="22"/>
          <w:szCs w:val="22"/>
        </w:rPr>
        <w:t>Fúze nepovede ke zhoršení hospodářské situace Nástupnického spolku a ani ke ztížení postavení věřitelů žádné ze Zúčastněných stran. Pohledávky věřitelů Zúčastněných byly a jsou řádně a včas uhrazovány. Dobytnost jejich pohledávek nebude ohrožena. Právo věřitelů</w:t>
      </w:r>
      <w:r w:rsidR="00D6538F">
        <w:rPr>
          <w:rFonts w:ascii="Arial" w:hAnsi="Arial" w:cs="Arial"/>
          <w:color w:val="auto"/>
          <w:sz w:val="22"/>
          <w:szCs w:val="22"/>
        </w:rPr>
        <w:t xml:space="preserve"> </w:t>
      </w:r>
      <w:r w:rsidRPr="00D6538F">
        <w:rPr>
          <w:rFonts w:ascii="Arial" w:hAnsi="Arial" w:cs="Arial"/>
          <w:color w:val="auto"/>
          <w:sz w:val="22"/>
          <w:szCs w:val="22"/>
        </w:rPr>
        <w:t xml:space="preserve">uplatňovat práva podle ustanovení § 280 Občanského zákoníku zůstává nedotčeno. </w:t>
      </w:r>
    </w:p>
    <w:p w:rsidR="00D6538F" w:rsidRDefault="00D6538F" w:rsidP="003A28C4">
      <w:pPr>
        <w:pStyle w:val="Default"/>
        <w:jc w:val="both"/>
        <w:rPr>
          <w:rFonts w:ascii="Arial" w:hAnsi="Arial" w:cs="Arial"/>
          <w:b/>
          <w:bCs/>
          <w:color w:val="auto"/>
          <w:sz w:val="22"/>
          <w:szCs w:val="22"/>
        </w:rPr>
      </w:pPr>
    </w:p>
    <w:p w:rsidR="003A28C4" w:rsidRPr="003A28C4" w:rsidRDefault="003A28C4" w:rsidP="00D6538F">
      <w:pPr>
        <w:pStyle w:val="Default"/>
        <w:jc w:val="center"/>
        <w:rPr>
          <w:rFonts w:ascii="Arial" w:hAnsi="Arial" w:cs="Arial"/>
          <w:color w:val="auto"/>
          <w:sz w:val="22"/>
          <w:szCs w:val="22"/>
        </w:rPr>
      </w:pPr>
      <w:r w:rsidRPr="003A28C4">
        <w:rPr>
          <w:rFonts w:ascii="Arial" w:hAnsi="Arial" w:cs="Arial"/>
          <w:b/>
          <w:bCs/>
          <w:color w:val="auto"/>
          <w:sz w:val="22"/>
          <w:szCs w:val="22"/>
        </w:rPr>
        <w:t>Čl. V</w:t>
      </w:r>
    </w:p>
    <w:p w:rsidR="003A28C4" w:rsidRDefault="003A28C4" w:rsidP="00D6538F">
      <w:pPr>
        <w:pStyle w:val="Default"/>
        <w:jc w:val="center"/>
        <w:rPr>
          <w:rFonts w:ascii="Arial" w:hAnsi="Arial" w:cs="Arial"/>
          <w:b/>
          <w:bCs/>
          <w:color w:val="auto"/>
          <w:sz w:val="22"/>
          <w:szCs w:val="22"/>
        </w:rPr>
      </w:pPr>
      <w:r w:rsidRPr="003A28C4">
        <w:rPr>
          <w:rFonts w:ascii="Arial" w:hAnsi="Arial" w:cs="Arial"/>
          <w:b/>
          <w:bCs/>
          <w:color w:val="auto"/>
          <w:sz w:val="22"/>
          <w:szCs w:val="22"/>
        </w:rPr>
        <w:t>Právní důsledky Fúze</w:t>
      </w:r>
    </w:p>
    <w:p w:rsidR="00D6538F" w:rsidRPr="003A28C4" w:rsidRDefault="00D6538F" w:rsidP="00D6538F">
      <w:pPr>
        <w:pStyle w:val="Default"/>
        <w:jc w:val="center"/>
        <w:rPr>
          <w:rFonts w:ascii="Arial" w:hAnsi="Arial" w:cs="Arial"/>
          <w:color w:val="auto"/>
          <w:sz w:val="22"/>
          <w:szCs w:val="22"/>
        </w:rPr>
      </w:pPr>
    </w:p>
    <w:p w:rsidR="00D6538F" w:rsidRDefault="003A28C4" w:rsidP="00D6538F">
      <w:pPr>
        <w:pStyle w:val="Default"/>
        <w:numPr>
          <w:ilvl w:val="0"/>
          <w:numId w:val="18"/>
        </w:numPr>
        <w:spacing w:after="51"/>
        <w:ind w:left="284" w:hanging="284"/>
        <w:jc w:val="both"/>
        <w:rPr>
          <w:rFonts w:ascii="Arial" w:hAnsi="Arial" w:cs="Arial"/>
          <w:color w:val="auto"/>
          <w:sz w:val="22"/>
          <w:szCs w:val="22"/>
        </w:rPr>
      </w:pPr>
      <w:r w:rsidRPr="003A28C4">
        <w:rPr>
          <w:rFonts w:ascii="Arial" w:hAnsi="Arial" w:cs="Arial"/>
          <w:color w:val="auto"/>
          <w:sz w:val="22"/>
          <w:szCs w:val="22"/>
        </w:rPr>
        <w:t xml:space="preserve">Návrh Smlouvy o fúzi </w:t>
      </w:r>
      <w:r w:rsidR="00D6538F">
        <w:rPr>
          <w:rFonts w:ascii="Arial" w:hAnsi="Arial" w:cs="Arial"/>
          <w:sz w:val="22"/>
          <w:szCs w:val="22"/>
        </w:rPr>
        <w:t>GCHK a GCNV</w:t>
      </w:r>
      <w:r w:rsidR="00D6538F" w:rsidRPr="003A28C4">
        <w:rPr>
          <w:rFonts w:ascii="Arial" w:hAnsi="Arial" w:cs="Arial"/>
          <w:sz w:val="22"/>
          <w:szCs w:val="22"/>
        </w:rPr>
        <w:t xml:space="preserve"> </w:t>
      </w:r>
      <w:r w:rsidRPr="003A28C4">
        <w:rPr>
          <w:rFonts w:ascii="Arial" w:hAnsi="Arial" w:cs="Arial"/>
          <w:color w:val="auto"/>
          <w:sz w:val="22"/>
          <w:szCs w:val="22"/>
        </w:rPr>
        <w:t>musí být schválen nejvyššími orgány obou spolků, a to na společném zasedání těchto orgánů. Nejvyšší orgány Zúčastněných spolků hlasují o návrhu Smlouvy o fúzi odděleně.</w:t>
      </w:r>
    </w:p>
    <w:p w:rsidR="00D6538F" w:rsidRDefault="00D6538F" w:rsidP="00D6538F">
      <w:pPr>
        <w:pStyle w:val="Default"/>
        <w:spacing w:after="51"/>
        <w:ind w:left="284"/>
        <w:jc w:val="both"/>
        <w:rPr>
          <w:rFonts w:ascii="Arial" w:hAnsi="Arial" w:cs="Arial"/>
          <w:color w:val="auto"/>
          <w:sz w:val="22"/>
          <w:szCs w:val="22"/>
        </w:rPr>
      </w:pPr>
    </w:p>
    <w:p w:rsidR="003A28C4" w:rsidRDefault="003A28C4" w:rsidP="003A28C4">
      <w:pPr>
        <w:pStyle w:val="Default"/>
        <w:numPr>
          <w:ilvl w:val="0"/>
          <w:numId w:val="18"/>
        </w:numPr>
        <w:spacing w:after="51"/>
        <w:ind w:left="284" w:hanging="284"/>
        <w:jc w:val="both"/>
        <w:rPr>
          <w:rFonts w:ascii="Arial" w:hAnsi="Arial" w:cs="Arial"/>
          <w:color w:val="auto"/>
          <w:sz w:val="22"/>
          <w:szCs w:val="22"/>
        </w:rPr>
      </w:pPr>
      <w:r w:rsidRPr="00D6538F">
        <w:rPr>
          <w:rFonts w:ascii="Arial" w:hAnsi="Arial" w:cs="Arial"/>
          <w:color w:val="auto"/>
          <w:sz w:val="22"/>
          <w:szCs w:val="22"/>
        </w:rPr>
        <w:t xml:space="preserve">V důsledku Fúze </w:t>
      </w:r>
      <w:r w:rsidR="00D6538F">
        <w:rPr>
          <w:rFonts w:ascii="Arial" w:hAnsi="Arial" w:cs="Arial"/>
          <w:color w:val="auto"/>
          <w:sz w:val="22"/>
          <w:szCs w:val="22"/>
        </w:rPr>
        <w:t>GCNV</w:t>
      </w:r>
      <w:r w:rsidRPr="00D6538F">
        <w:rPr>
          <w:rFonts w:ascii="Arial" w:hAnsi="Arial" w:cs="Arial"/>
          <w:color w:val="auto"/>
          <w:sz w:val="22"/>
          <w:szCs w:val="22"/>
        </w:rPr>
        <w:t xml:space="preserve"> jakožto právnická osoba zanikne, a to bez likvidace. </w:t>
      </w:r>
    </w:p>
    <w:p w:rsidR="00D6538F" w:rsidRDefault="00D6538F" w:rsidP="00D6538F">
      <w:pPr>
        <w:pStyle w:val="Default"/>
        <w:spacing w:after="51"/>
        <w:ind w:left="284"/>
        <w:jc w:val="both"/>
        <w:rPr>
          <w:rFonts w:ascii="Arial" w:hAnsi="Arial" w:cs="Arial"/>
          <w:color w:val="auto"/>
          <w:sz w:val="22"/>
          <w:szCs w:val="22"/>
        </w:rPr>
      </w:pPr>
    </w:p>
    <w:p w:rsidR="00D6538F" w:rsidRDefault="003A28C4" w:rsidP="003A28C4">
      <w:pPr>
        <w:pStyle w:val="Default"/>
        <w:numPr>
          <w:ilvl w:val="0"/>
          <w:numId w:val="18"/>
        </w:numPr>
        <w:spacing w:after="51"/>
        <w:ind w:left="284" w:hanging="284"/>
        <w:jc w:val="both"/>
        <w:rPr>
          <w:rFonts w:ascii="Arial" w:hAnsi="Arial" w:cs="Arial"/>
          <w:color w:val="auto"/>
          <w:sz w:val="22"/>
          <w:szCs w:val="22"/>
        </w:rPr>
      </w:pPr>
      <w:r w:rsidRPr="00D6538F">
        <w:rPr>
          <w:rFonts w:ascii="Arial" w:hAnsi="Arial" w:cs="Arial"/>
          <w:color w:val="auto"/>
          <w:sz w:val="22"/>
          <w:szCs w:val="22"/>
        </w:rPr>
        <w:t xml:space="preserve">Jmění </w:t>
      </w:r>
      <w:r w:rsidR="00D6538F">
        <w:rPr>
          <w:rFonts w:ascii="Arial" w:hAnsi="Arial" w:cs="Arial"/>
          <w:color w:val="auto"/>
          <w:sz w:val="22"/>
          <w:szCs w:val="22"/>
        </w:rPr>
        <w:t>GCNV</w:t>
      </w:r>
      <w:r w:rsidRPr="00D6538F">
        <w:rPr>
          <w:rFonts w:ascii="Arial" w:hAnsi="Arial" w:cs="Arial"/>
          <w:color w:val="auto"/>
          <w:sz w:val="22"/>
          <w:szCs w:val="22"/>
        </w:rPr>
        <w:t xml:space="preserve"> přejde na </w:t>
      </w:r>
      <w:r w:rsidR="00D6538F">
        <w:rPr>
          <w:rFonts w:ascii="Arial" w:hAnsi="Arial" w:cs="Arial"/>
          <w:color w:val="auto"/>
          <w:sz w:val="22"/>
          <w:szCs w:val="22"/>
        </w:rPr>
        <w:t>GCHK</w:t>
      </w:r>
      <w:r w:rsidRPr="00D6538F">
        <w:rPr>
          <w:rFonts w:ascii="Arial" w:hAnsi="Arial" w:cs="Arial"/>
          <w:color w:val="auto"/>
          <w:sz w:val="22"/>
          <w:szCs w:val="22"/>
        </w:rPr>
        <w:t>.</w:t>
      </w:r>
    </w:p>
    <w:p w:rsidR="00D6538F" w:rsidRDefault="00D6538F" w:rsidP="00D6538F">
      <w:pPr>
        <w:pStyle w:val="Default"/>
        <w:spacing w:after="51"/>
        <w:ind w:left="284"/>
        <w:jc w:val="both"/>
        <w:rPr>
          <w:rFonts w:ascii="Arial" w:hAnsi="Arial" w:cs="Arial"/>
          <w:color w:val="auto"/>
          <w:sz w:val="22"/>
          <w:szCs w:val="22"/>
        </w:rPr>
      </w:pPr>
    </w:p>
    <w:p w:rsidR="00D6538F" w:rsidRDefault="003A28C4" w:rsidP="003A28C4">
      <w:pPr>
        <w:pStyle w:val="Default"/>
        <w:numPr>
          <w:ilvl w:val="0"/>
          <w:numId w:val="18"/>
        </w:numPr>
        <w:spacing w:after="51"/>
        <w:ind w:left="284" w:hanging="284"/>
        <w:jc w:val="both"/>
        <w:rPr>
          <w:rFonts w:ascii="Arial" w:hAnsi="Arial" w:cs="Arial"/>
          <w:color w:val="auto"/>
          <w:sz w:val="22"/>
          <w:szCs w:val="22"/>
        </w:rPr>
      </w:pPr>
      <w:r w:rsidRPr="00D6538F">
        <w:rPr>
          <w:rFonts w:ascii="Arial" w:hAnsi="Arial" w:cs="Arial"/>
          <w:color w:val="auto"/>
          <w:sz w:val="22"/>
          <w:szCs w:val="22"/>
        </w:rPr>
        <w:t xml:space="preserve">Fúze nabývá účinnosti dnem zápisu Fúze do spolkového rejstříku vedeném u </w:t>
      </w:r>
      <w:r w:rsidR="00D6538F">
        <w:rPr>
          <w:rFonts w:ascii="Arial" w:hAnsi="Arial" w:cs="Arial"/>
          <w:color w:val="auto"/>
          <w:sz w:val="22"/>
          <w:szCs w:val="22"/>
        </w:rPr>
        <w:t>Krajského soudu v Hradci Králové</w:t>
      </w:r>
      <w:r w:rsidRPr="00D6538F">
        <w:rPr>
          <w:rFonts w:ascii="Arial" w:hAnsi="Arial" w:cs="Arial"/>
          <w:color w:val="auto"/>
          <w:sz w:val="22"/>
          <w:szCs w:val="22"/>
        </w:rPr>
        <w:t>.</w:t>
      </w:r>
    </w:p>
    <w:p w:rsidR="00D6538F" w:rsidRDefault="00D6538F" w:rsidP="00D6538F">
      <w:pPr>
        <w:pStyle w:val="Default"/>
        <w:spacing w:after="51"/>
        <w:ind w:left="284"/>
        <w:jc w:val="both"/>
        <w:rPr>
          <w:rFonts w:ascii="Arial" w:hAnsi="Arial" w:cs="Arial"/>
          <w:color w:val="auto"/>
          <w:sz w:val="22"/>
          <w:szCs w:val="22"/>
        </w:rPr>
      </w:pPr>
    </w:p>
    <w:p w:rsidR="003A28C4" w:rsidRDefault="003A28C4" w:rsidP="003A28C4">
      <w:pPr>
        <w:pStyle w:val="Default"/>
        <w:numPr>
          <w:ilvl w:val="0"/>
          <w:numId w:val="18"/>
        </w:numPr>
        <w:spacing w:after="51"/>
        <w:ind w:left="284" w:hanging="284"/>
        <w:jc w:val="both"/>
        <w:rPr>
          <w:rFonts w:ascii="Arial" w:hAnsi="Arial" w:cs="Arial"/>
          <w:color w:val="auto"/>
          <w:sz w:val="22"/>
          <w:szCs w:val="22"/>
        </w:rPr>
      </w:pPr>
      <w:r w:rsidRPr="00D6538F">
        <w:rPr>
          <w:rFonts w:ascii="Arial" w:hAnsi="Arial" w:cs="Arial"/>
          <w:color w:val="auto"/>
          <w:sz w:val="22"/>
          <w:szCs w:val="22"/>
        </w:rPr>
        <w:t xml:space="preserve">Na základě návrhu Zúčastněných spolků provede </w:t>
      </w:r>
      <w:r w:rsidR="00D6538F">
        <w:rPr>
          <w:rFonts w:ascii="Arial" w:hAnsi="Arial" w:cs="Arial"/>
          <w:color w:val="auto"/>
          <w:sz w:val="22"/>
          <w:szCs w:val="22"/>
        </w:rPr>
        <w:t>Krajský</w:t>
      </w:r>
      <w:r w:rsidRPr="00D6538F">
        <w:rPr>
          <w:rFonts w:ascii="Arial" w:hAnsi="Arial" w:cs="Arial"/>
          <w:color w:val="auto"/>
          <w:sz w:val="22"/>
          <w:szCs w:val="22"/>
        </w:rPr>
        <w:t xml:space="preserve"> soud v</w:t>
      </w:r>
      <w:r w:rsidR="00D6538F">
        <w:rPr>
          <w:rFonts w:ascii="Arial" w:hAnsi="Arial" w:cs="Arial"/>
          <w:color w:val="auto"/>
          <w:sz w:val="22"/>
          <w:szCs w:val="22"/>
        </w:rPr>
        <w:t> Hradci Králové</w:t>
      </w:r>
      <w:r w:rsidRPr="00D6538F">
        <w:rPr>
          <w:rFonts w:ascii="Arial" w:hAnsi="Arial" w:cs="Arial"/>
          <w:color w:val="auto"/>
          <w:sz w:val="22"/>
          <w:szCs w:val="22"/>
        </w:rPr>
        <w:t xml:space="preserve"> zápis Fúze tak, že k témuž dni vymaže ve spolkovém rejstříku Zanikající spolek, u Nástupnického spolku poznamená den účinnosti Fúze a identifikující údaje Zanikajícího spolku. </w:t>
      </w:r>
    </w:p>
    <w:p w:rsidR="00D6538F" w:rsidRDefault="00D6538F" w:rsidP="00D6538F">
      <w:pPr>
        <w:pStyle w:val="Default"/>
        <w:spacing w:after="51"/>
        <w:ind w:left="284"/>
        <w:jc w:val="both"/>
        <w:rPr>
          <w:rFonts w:ascii="Arial" w:hAnsi="Arial" w:cs="Arial"/>
          <w:color w:val="auto"/>
          <w:sz w:val="22"/>
          <w:szCs w:val="22"/>
        </w:rPr>
      </w:pPr>
    </w:p>
    <w:p w:rsidR="00802430" w:rsidRDefault="003A28C4" w:rsidP="00D6538F">
      <w:pPr>
        <w:pStyle w:val="Default"/>
        <w:numPr>
          <w:ilvl w:val="0"/>
          <w:numId w:val="18"/>
        </w:numPr>
        <w:spacing w:after="51"/>
        <w:ind w:left="284" w:hanging="284"/>
        <w:jc w:val="both"/>
        <w:rPr>
          <w:rFonts w:ascii="Arial" w:hAnsi="Arial" w:cs="Arial"/>
          <w:color w:val="auto"/>
          <w:sz w:val="22"/>
          <w:szCs w:val="22"/>
        </w:rPr>
      </w:pPr>
      <w:r w:rsidRPr="00D6538F">
        <w:rPr>
          <w:rFonts w:ascii="Arial" w:hAnsi="Arial" w:cs="Arial"/>
          <w:color w:val="auto"/>
          <w:sz w:val="22"/>
          <w:szCs w:val="22"/>
        </w:rPr>
        <w:t xml:space="preserve">Členové Zanikajícího spolku se okamžikem zápisu Fúze do spolkového rejstříku stanou řádnými členy </w:t>
      </w:r>
      <w:r w:rsidR="00D6538F">
        <w:rPr>
          <w:rFonts w:ascii="Arial" w:hAnsi="Arial" w:cs="Arial"/>
          <w:color w:val="auto"/>
          <w:sz w:val="22"/>
          <w:szCs w:val="22"/>
        </w:rPr>
        <w:t>Nástupnického spolku</w:t>
      </w:r>
      <w:r w:rsidRPr="00D6538F">
        <w:rPr>
          <w:rFonts w:ascii="Arial" w:hAnsi="Arial" w:cs="Arial"/>
          <w:color w:val="auto"/>
          <w:sz w:val="22"/>
          <w:szCs w:val="22"/>
        </w:rPr>
        <w:t xml:space="preserve"> ve smyslu stanov Nástupnického spolku.</w:t>
      </w:r>
    </w:p>
    <w:p w:rsidR="00802430" w:rsidRDefault="00802430" w:rsidP="00802430">
      <w:pPr>
        <w:pStyle w:val="Default"/>
        <w:spacing w:after="51"/>
        <w:ind w:left="284"/>
        <w:jc w:val="both"/>
        <w:rPr>
          <w:rFonts w:ascii="Arial" w:hAnsi="Arial" w:cs="Arial"/>
          <w:color w:val="auto"/>
          <w:sz w:val="22"/>
          <w:szCs w:val="22"/>
        </w:rPr>
      </w:pPr>
    </w:p>
    <w:p w:rsidR="003A28C4" w:rsidRPr="00802430" w:rsidRDefault="003A28C4" w:rsidP="003A28C4">
      <w:pPr>
        <w:pStyle w:val="Default"/>
        <w:numPr>
          <w:ilvl w:val="0"/>
          <w:numId w:val="18"/>
        </w:numPr>
        <w:spacing w:after="51"/>
        <w:ind w:left="284" w:hanging="284"/>
        <w:jc w:val="both"/>
        <w:rPr>
          <w:rFonts w:ascii="Arial" w:hAnsi="Arial" w:cs="Arial"/>
          <w:color w:val="auto"/>
          <w:sz w:val="22"/>
          <w:szCs w:val="22"/>
        </w:rPr>
      </w:pPr>
      <w:r w:rsidRPr="00D6538F">
        <w:rPr>
          <w:rFonts w:ascii="Arial" w:hAnsi="Arial" w:cs="Arial"/>
          <w:color w:val="auto"/>
          <w:sz w:val="22"/>
          <w:szCs w:val="22"/>
        </w:rPr>
        <w:t xml:space="preserve"> </w:t>
      </w:r>
      <w:r w:rsidRPr="00802430">
        <w:rPr>
          <w:rFonts w:ascii="Arial" w:hAnsi="Arial" w:cs="Arial"/>
          <w:color w:val="auto"/>
          <w:sz w:val="22"/>
          <w:szCs w:val="22"/>
        </w:rPr>
        <w:t xml:space="preserve">Po zápisu Fúze do spolkového rejstříku nelze Smlouvu o fúzi změnit nebo zrušit. </w:t>
      </w:r>
    </w:p>
    <w:p w:rsidR="003A28C4" w:rsidRDefault="003A28C4" w:rsidP="003A28C4">
      <w:pPr>
        <w:pStyle w:val="Default"/>
        <w:jc w:val="both"/>
        <w:rPr>
          <w:rFonts w:ascii="Arial" w:hAnsi="Arial" w:cs="Arial"/>
          <w:color w:val="auto"/>
          <w:sz w:val="22"/>
          <w:szCs w:val="22"/>
        </w:rPr>
      </w:pPr>
    </w:p>
    <w:p w:rsidR="00802430" w:rsidRDefault="00802430" w:rsidP="003A28C4">
      <w:pPr>
        <w:pStyle w:val="Default"/>
        <w:jc w:val="both"/>
        <w:rPr>
          <w:rFonts w:ascii="Arial" w:hAnsi="Arial" w:cs="Arial"/>
          <w:color w:val="auto"/>
          <w:sz w:val="22"/>
          <w:szCs w:val="22"/>
        </w:rPr>
      </w:pPr>
    </w:p>
    <w:p w:rsidR="00802430" w:rsidRDefault="00802430" w:rsidP="00802430">
      <w:pPr>
        <w:pStyle w:val="Default"/>
        <w:rPr>
          <w:rFonts w:ascii="Arial" w:hAnsi="Arial" w:cs="Arial"/>
          <w:color w:val="auto"/>
          <w:sz w:val="22"/>
          <w:szCs w:val="22"/>
        </w:rPr>
      </w:pPr>
      <w:r w:rsidRPr="004651D4">
        <w:rPr>
          <w:rFonts w:ascii="Arial" w:hAnsi="Arial" w:cs="Arial"/>
          <w:color w:val="auto"/>
          <w:sz w:val="22"/>
          <w:szCs w:val="22"/>
        </w:rPr>
        <w:t>V</w:t>
      </w:r>
      <w:r>
        <w:rPr>
          <w:rFonts w:ascii="Arial" w:hAnsi="Arial" w:cs="Arial"/>
          <w:color w:val="auto"/>
          <w:sz w:val="22"/>
          <w:szCs w:val="22"/>
        </w:rPr>
        <w:t> Hradci Králové</w:t>
      </w:r>
      <w:r w:rsidRPr="004651D4">
        <w:rPr>
          <w:rFonts w:ascii="Arial" w:hAnsi="Arial" w:cs="Arial"/>
          <w:color w:val="auto"/>
          <w:sz w:val="22"/>
          <w:szCs w:val="22"/>
        </w:rPr>
        <w:t xml:space="preserve"> dne </w:t>
      </w:r>
      <w:proofErr w:type="gramStart"/>
      <w:r w:rsidR="00EA4BC2">
        <w:rPr>
          <w:rFonts w:ascii="Arial" w:hAnsi="Arial" w:cs="Arial"/>
          <w:color w:val="auto"/>
          <w:sz w:val="22"/>
          <w:szCs w:val="22"/>
        </w:rPr>
        <w:t>29.1.2024</w:t>
      </w:r>
      <w:proofErr w:type="gramEnd"/>
      <w:r w:rsidRPr="004651D4">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p>
    <w:p w:rsidR="00EA4BC2" w:rsidRDefault="00EA4BC2" w:rsidP="00802430">
      <w:pPr>
        <w:pStyle w:val="Default"/>
        <w:rPr>
          <w:rFonts w:ascii="Arial" w:hAnsi="Arial" w:cs="Arial"/>
          <w:color w:val="auto"/>
          <w:sz w:val="22"/>
          <w:szCs w:val="22"/>
        </w:rPr>
      </w:pPr>
    </w:p>
    <w:p w:rsidR="00EA4BC2" w:rsidRDefault="00EA4BC2" w:rsidP="00802430">
      <w:pPr>
        <w:pStyle w:val="Default"/>
        <w:rPr>
          <w:rFonts w:ascii="Arial" w:hAnsi="Arial" w:cs="Arial"/>
          <w:color w:val="auto"/>
          <w:sz w:val="22"/>
          <w:szCs w:val="22"/>
        </w:rPr>
      </w:pPr>
    </w:p>
    <w:p w:rsidR="00802430" w:rsidRDefault="00802430" w:rsidP="00802430">
      <w:pPr>
        <w:pStyle w:val="Default"/>
        <w:rPr>
          <w:rFonts w:ascii="Arial" w:hAnsi="Arial" w:cs="Arial"/>
          <w:b/>
          <w:color w:val="auto"/>
          <w:sz w:val="22"/>
          <w:szCs w:val="22"/>
        </w:rPr>
      </w:pPr>
    </w:p>
    <w:p w:rsidR="00802430" w:rsidRDefault="00802430" w:rsidP="00802430">
      <w:pPr>
        <w:pStyle w:val="Default"/>
        <w:rPr>
          <w:rFonts w:ascii="Arial" w:hAnsi="Arial" w:cs="Arial"/>
          <w:b/>
          <w:color w:val="auto"/>
          <w:sz w:val="22"/>
          <w:szCs w:val="22"/>
        </w:rPr>
      </w:pPr>
      <w:r w:rsidRPr="00003696">
        <w:rPr>
          <w:rFonts w:ascii="Arial" w:hAnsi="Arial" w:cs="Arial"/>
          <w:b/>
          <w:color w:val="auto"/>
          <w:sz w:val="22"/>
          <w:szCs w:val="22"/>
        </w:rPr>
        <w:t>Za Nástupnický spolek</w:t>
      </w:r>
      <w:r>
        <w:rPr>
          <w:rFonts w:ascii="Arial" w:hAnsi="Arial" w:cs="Arial"/>
          <w:b/>
          <w:color w:val="auto"/>
          <w:sz w:val="22"/>
          <w:szCs w:val="22"/>
        </w:rPr>
        <w:t>:</w:t>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Za Zanikající spolek:</w:t>
      </w:r>
    </w:p>
    <w:p w:rsidR="00802430" w:rsidRDefault="00802430" w:rsidP="00802430">
      <w:pPr>
        <w:pStyle w:val="Default"/>
        <w:rPr>
          <w:rFonts w:ascii="Arial" w:hAnsi="Arial" w:cs="Arial"/>
          <w:b/>
          <w:color w:val="auto"/>
          <w:sz w:val="22"/>
          <w:szCs w:val="22"/>
        </w:rPr>
      </w:pPr>
    </w:p>
    <w:p w:rsidR="00802430" w:rsidRPr="00003696" w:rsidRDefault="00802430" w:rsidP="00802430">
      <w:pPr>
        <w:pStyle w:val="Default"/>
        <w:rPr>
          <w:rFonts w:ascii="Arial" w:hAnsi="Arial" w:cs="Arial"/>
          <w:b/>
          <w:color w:val="auto"/>
          <w:sz w:val="22"/>
          <w:szCs w:val="22"/>
        </w:rPr>
      </w:pPr>
    </w:p>
    <w:p w:rsidR="00802430" w:rsidRPr="003A28C4" w:rsidRDefault="00802430" w:rsidP="00802430">
      <w:pPr>
        <w:pStyle w:val="Default"/>
        <w:rPr>
          <w:rFonts w:ascii="Arial" w:hAnsi="Arial" w:cs="Arial"/>
          <w:color w:val="auto"/>
          <w:sz w:val="22"/>
          <w:szCs w:val="22"/>
        </w:rPr>
      </w:pPr>
      <w:bookmarkStart w:id="0" w:name="_GoBack"/>
      <w:bookmarkEnd w:id="0"/>
      <w:r>
        <w:rPr>
          <w:rFonts w:ascii="Arial" w:hAnsi="Arial" w:cs="Arial"/>
          <w:color w:val="auto"/>
          <w:sz w:val="22"/>
          <w:szCs w:val="22"/>
        </w:rPr>
        <w:t>Ing. Petr Lexa, prezident</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Vlasta Horáková, prezidentka výboru</w:t>
      </w:r>
    </w:p>
    <w:sectPr w:rsidR="00802430" w:rsidRPr="003A2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7DAE8B"/>
    <w:multiLevelType w:val="hybridMultilevel"/>
    <w:tmpl w:val="479081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C3A9AA"/>
    <w:multiLevelType w:val="hybridMultilevel"/>
    <w:tmpl w:val="4E6E9E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504517"/>
    <w:multiLevelType w:val="hybridMultilevel"/>
    <w:tmpl w:val="FE3F8C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BBC72C"/>
    <w:multiLevelType w:val="hybridMultilevel"/>
    <w:tmpl w:val="60D797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120815"/>
    <w:multiLevelType w:val="hybridMultilevel"/>
    <w:tmpl w:val="85F212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1D6ACF"/>
    <w:multiLevelType w:val="hybridMultilevel"/>
    <w:tmpl w:val="DF16F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FD70C5"/>
    <w:multiLevelType w:val="hybridMultilevel"/>
    <w:tmpl w:val="DAFEC974"/>
    <w:lvl w:ilvl="0" w:tplc="04050017">
      <w:start w:val="1"/>
      <w:numFmt w:val="lowerLetter"/>
      <w:lvlText w:val="%1)"/>
      <w:lvlJc w:val="left"/>
      <w:pPr>
        <w:ind w:left="1065" w:hanging="360"/>
      </w:pPr>
    </w:lvl>
    <w:lvl w:ilvl="1" w:tplc="04050017">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0CB6B2D3"/>
    <w:multiLevelType w:val="hybridMultilevel"/>
    <w:tmpl w:val="A6A763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3828F8"/>
    <w:multiLevelType w:val="hybridMultilevel"/>
    <w:tmpl w:val="9DC4080A"/>
    <w:lvl w:ilvl="0" w:tplc="C64E3D6C">
      <w:start w:val="1"/>
      <w:numFmt w:val="decimal"/>
      <w:lvlText w:val="%1."/>
      <w:lvlJc w:val="left"/>
      <w:pPr>
        <w:ind w:left="720" w:hanging="360"/>
      </w:pPr>
      <w:rPr>
        <w:rFonts w:hint="default"/>
        <w:color w:val="000000"/>
      </w:rPr>
    </w:lvl>
    <w:lvl w:ilvl="1" w:tplc="B3A8C05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9B35E5"/>
    <w:multiLevelType w:val="hybridMultilevel"/>
    <w:tmpl w:val="C75808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26686"/>
    <w:multiLevelType w:val="hybridMultilevel"/>
    <w:tmpl w:val="B986DD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0332F0"/>
    <w:multiLevelType w:val="hybridMultilevel"/>
    <w:tmpl w:val="D2C06C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D576D2"/>
    <w:multiLevelType w:val="hybridMultilevel"/>
    <w:tmpl w:val="350ACF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683776F"/>
    <w:multiLevelType w:val="hybridMultilevel"/>
    <w:tmpl w:val="9B50F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6511C3"/>
    <w:multiLevelType w:val="hybridMultilevel"/>
    <w:tmpl w:val="1E46D99E"/>
    <w:lvl w:ilvl="0" w:tplc="C64E3D6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3B8570"/>
    <w:multiLevelType w:val="hybridMultilevel"/>
    <w:tmpl w:val="6693B2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08DD3B"/>
    <w:multiLevelType w:val="hybridMultilevel"/>
    <w:tmpl w:val="0A837A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0A07753"/>
    <w:multiLevelType w:val="hybridMultilevel"/>
    <w:tmpl w:val="F3AA4A4C"/>
    <w:lvl w:ilvl="0" w:tplc="C64E3D6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2"/>
  </w:num>
  <w:num w:numId="3">
    <w:abstractNumId w:val="7"/>
  </w:num>
  <w:num w:numId="4">
    <w:abstractNumId w:val="1"/>
  </w:num>
  <w:num w:numId="5">
    <w:abstractNumId w:val="4"/>
  </w:num>
  <w:num w:numId="6">
    <w:abstractNumId w:val="16"/>
  </w:num>
  <w:num w:numId="7">
    <w:abstractNumId w:val="3"/>
  </w:num>
  <w:num w:numId="8">
    <w:abstractNumId w:val="0"/>
  </w:num>
  <w:num w:numId="9">
    <w:abstractNumId w:val="2"/>
  </w:num>
  <w:num w:numId="10">
    <w:abstractNumId w:val="11"/>
  </w:num>
  <w:num w:numId="11">
    <w:abstractNumId w:val="9"/>
  </w:num>
  <w:num w:numId="12">
    <w:abstractNumId w:val="13"/>
  </w:num>
  <w:num w:numId="13">
    <w:abstractNumId w:val="5"/>
  </w:num>
  <w:num w:numId="14">
    <w:abstractNumId w:val="8"/>
  </w:num>
  <w:num w:numId="15">
    <w:abstractNumId w:val="6"/>
  </w:num>
  <w:num w:numId="16">
    <w:abstractNumId w:val="10"/>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1B"/>
    <w:rsid w:val="000E2ED1"/>
    <w:rsid w:val="002A150B"/>
    <w:rsid w:val="003A28C4"/>
    <w:rsid w:val="00465907"/>
    <w:rsid w:val="00537D1B"/>
    <w:rsid w:val="005874A2"/>
    <w:rsid w:val="00802430"/>
    <w:rsid w:val="008D1B4A"/>
    <w:rsid w:val="008F64EB"/>
    <w:rsid w:val="009D408D"/>
    <w:rsid w:val="00A92885"/>
    <w:rsid w:val="00AA6263"/>
    <w:rsid w:val="00D6538F"/>
    <w:rsid w:val="00DF716F"/>
    <w:rsid w:val="00EA4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E5279-A16B-49B2-A4E5-63EF900E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A28C4"/>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A92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5229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Rudolf Koblasa</dc:creator>
  <cp:keywords/>
  <dc:description/>
  <cp:lastModifiedBy>Mgr. Šimon Slezák</cp:lastModifiedBy>
  <cp:revision>3</cp:revision>
  <dcterms:created xsi:type="dcterms:W3CDTF">2024-01-29T13:22:00Z</dcterms:created>
  <dcterms:modified xsi:type="dcterms:W3CDTF">2024-01-29T13:22:00Z</dcterms:modified>
</cp:coreProperties>
</file>